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75C" w:rsidRPr="00BD6778" w:rsidRDefault="000B3BF6" w:rsidP="00A2175C">
      <w:pPr>
        <w:spacing w:after="0" w:line="240" w:lineRule="auto"/>
        <w:ind w:firstLine="567"/>
        <w:jc w:val="center"/>
        <w:rPr>
          <w:rFonts w:ascii="Times New Roman" w:hAnsi="Times New Roman" w:cs="Times New Roman"/>
          <w:b/>
          <w:sz w:val="24"/>
          <w:szCs w:val="24"/>
        </w:rPr>
      </w:pPr>
      <w:r w:rsidRPr="00BD6778">
        <w:rPr>
          <w:rFonts w:ascii="Times New Roman" w:hAnsi="Times New Roman" w:cs="Times New Roman"/>
          <w:b/>
          <w:sz w:val="24"/>
          <w:szCs w:val="24"/>
        </w:rPr>
        <w:t xml:space="preserve">Quy định pháp luật hiện hành và một số vướng mắc trong việc thực hiện </w:t>
      </w:r>
    </w:p>
    <w:p w:rsidR="000B3BF6" w:rsidRPr="00BD6778" w:rsidRDefault="000B3BF6" w:rsidP="00A2175C">
      <w:pPr>
        <w:spacing w:after="0" w:line="240" w:lineRule="auto"/>
        <w:ind w:firstLine="567"/>
        <w:jc w:val="center"/>
        <w:rPr>
          <w:rFonts w:ascii="Times New Roman" w:hAnsi="Times New Roman" w:cs="Times New Roman"/>
          <w:b/>
          <w:sz w:val="24"/>
          <w:szCs w:val="24"/>
        </w:rPr>
      </w:pPr>
      <w:r w:rsidRPr="00BD6778">
        <w:rPr>
          <w:rFonts w:ascii="Times New Roman" w:hAnsi="Times New Roman" w:cs="Times New Roman"/>
          <w:b/>
          <w:sz w:val="24"/>
          <w:szCs w:val="24"/>
        </w:rPr>
        <w:t>quy định về giáo dục nghề nghiệp</w:t>
      </w:r>
    </w:p>
    <w:p w:rsidR="00A2175C" w:rsidRPr="00BD6778" w:rsidRDefault="006100A0" w:rsidP="00A2175C">
      <w:pPr>
        <w:spacing w:after="0" w:line="240" w:lineRule="auto"/>
        <w:ind w:firstLine="567"/>
        <w:jc w:val="right"/>
        <w:rPr>
          <w:rFonts w:ascii="Times New Roman" w:hAnsi="Times New Roman" w:cs="Times New Roman"/>
          <w:b/>
          <w:sz w:val="24"/>
          <w:szCs w:val="24"/>
        </w:rPr>
      </w:pPr>
      <w:r w:rsidRPr="00BD6778">
        <w:rPr>
          <w:rFonts w:ascii="Times New Roman" w:hAnsi="Times New Roman" w:cs="Times New Roman"/>
          <w:b/>
          <w:sz w:val="24"/>
          <w:szCs w:val="24"/>
        </w:rPr>
        <w:t xml:space="preserve">                                                     </w:t>
      </w:r>
    </w:p>
    <w:p w:rsidR="006100A0" w:rsidRPr="00BD6778" w:rsidRDefault="006100A0" w:rsidP="00A2175C">
      <w:pPr>
        <w:spacing w:after="0" w:line="240" w:lineRule="auto"/>
        <w:ind w:firstLine="567"/>
        <w:jc w:val="right"/>
        <w:rPr>
          <w:rFonts w:ascii="Times New Roman" w:hAnsi="Times New Roman" w:cs="Times New Roman"/>
          <w:b/>
          <w:i/>
          <w:sz w:val="24"/>
          <w:szCs w:val="24"/>
        </w:rPr>
      </w:pPr>
      <w:r w:rsidRPr="00BD6778">
        <w:rPr>
          <w:rFonts w:ascii="Times New Roman" w:hAnsi="Times New Roman" w:cs="Times New Roman"/>
          <w:b/>
          <w:sz w:val="24"/>
          <w:szCs w:val="24"/>
        </w:rPr>
        <w:t xml:space="preserve">  </w:t>
      </w:r>
      <w:r w:rsidRPr="00BD6778">
        <w:rPr>
          <w:rFonts w:ascii="Times New Roman" w:hAnsi="Times New Roman" w:cs="Times New Roman"/>
          <w:b/>
          <w:i/>
          <w:sz w:val="24"/>
          <w:szCs w:val="24"/>
        </w:rPr>
        <w:t>Nguyễn Thu Hoài</w:t>
      </w:r>
    </w:p>
    <w:p w:rsidR="006100A0" w:rsidRPr="00BD6778" w:rsidRDefault="006100A0" w:rsidP="00A2175C">
      <w:pPr>
        <w:spacing w:after="0" w:line="240" w:lineRule="auto"/>
        <w:ind w:firstLine="567"/>
        <w:jc w:val="right"/>
        <w:rPr>
          <w:rFonts w:ascii="Times New Roman" w:hAnsi="Times New Roman" w:cs="Times New Roman"/>
          <w:b/>
          <w:i/>
          <w:sz w:val="24"/>
          <w:szCs w:val="24"/>
        </w:rPr>
      </w:pPr>
      <w:r w:rsidRPr="00BD6778">
        <w:rPr>
          <w:rFonts w:ascii="Times New Roman" w:hAnsi="Times New Roman" w:cs="Times New Roman"/>
          <w:b/>
          <w:i/>
          <w:sz w:val="24"/>
          <w:szCs w:val="24"/>
        </w:rPr>
        <w:t xml:space="preserve">                                                     Cục Kiểm tra văn bản QPPL</w:t>
      </w:r>
      <w:r w:rsidR="00C1421D">
        <w:rPr>
          <w:rFonts w:ascii="Times New Roman" w:hAnsi="Times New Roman" w:cs="Times New Roman"/>
          <w:b/>
          <w:i/>
          <w:sz w:val="24"/>
          <w:szCs w:val="24"/>
        </w:rPr>
        <w:t>, Bộ Tư pháp</w:t>
      </w:r>
    </w:p>
    <w:p w:rsidR="00A2175C" w:rsidRPr="00BD6778" w:rsidRDefault="00A2175C" w:rsidP="00C655C6">
      <w:pPr>
        <w:spacing w:before="120" w:after="120" w:line="240" w:lineRule="auto"/>
        <w:ind w:firstLine="567"/>
        <w:jc w:val="both"/>
        <w:rPr>
          <w:rStyle w:val="Strong"/>
          <w:rFonts w:ascii="Times New Roman" w:hAnsi="Times New Roman" w:cs="Times New Roman"/>
          <w:b w:val="0"/>
          <w:sz w:val="24"/>
          <w:szCs w:val="24"/>
        </w:rPr>
      </w:pPr>
    </w:p>
    <w:p w:rsidR="00B40A1B" w:rsidRPr="00BD6778" w:rsidRDefault="00B51699" w:rsidP="00D85AEA">
      <w:pPr>
        <w:spacing w:before="120" w:after="120" w:line="240" w:lineRule="auto"/>
        <w:ind w:firstLine="567"/>
        <w:jc w:val="both"/>
        <w:rPr>
          <w:rStyle w:val="Strong"/>
          <w:rFonts w:ascii="Times New Roman" w:hAnsi="Times New Roman" w:cs="Times New Roman"/>
          <w:b w:val="0"/>
          <w:sz w:val="24"/>
          <w:szCs w:val="24"/>
        </w:rPr>
      </w:pPr>
      <w:r w:rsidRPr="00BD6778">
        <w:rPr>
          <w:rStyle w:val="Strong"/>
          <w:rFonts w:ascii="Times New Roman" w:hAnsi="Times New Roman" w:cs="Times New Roman"/>
          <w:b w:val="0"/>
          <w:sz w:val="24"/>
          <w:szCs w:val="24"/>
        </w:rPr>
        <w:t>Sau gần 3 năm chuẩn bị, ngày 27 tháng 11 năm 2014, Luật Giáo dục nghề nghiệp đã được Quốc hội khóa XIII thông qua tại Kỳ họp thứ 8 và có hiệu lực thi hành từ 01 tháng 7 năm 2015. Có thể nói, đây là một đạo luật đã thể chế hóa mạnh mẽ chủ trương đổi mới căn bản, toàn diện giáo dục nói chung, giáo dục nghề nghiệp nói riêng theo tinh thần Nghị quyết Hội nghị lần thứ 8, Ban Chấp hành Trung ương Khóa XI, giải quyết nhiều bất cập trong thực tiễn, tạo nên một diện mạ</w:t>
      </w:r>
      <w:r w:rsidR="00B40A1B" w:rsidRPr="00BD6778">
        <w:rPr>
          <w:rStyle w:val="Strong"/>
          <w:rFonts w:ascii="Times New Roman" w:hAnsi="Times New Roman" w:cs="Times New Roman"/>
          <w:b w:val="0"/>
          <w:sz w:val="24"/>
          <w:szCs w:val="24"/>
        </w:rPr>
        <w:t xml:space="preserve">o </w:t>
      </w:r>
      <w:r w:rsidRPr="00BD6778">
        <w:rPr>
          <w:rStyle w:val="Strong"/>
          <w:rFonts w:ascii="Times New Roman" w:hAnsi="Times New Roman" w:cs="Times New Roman"/>
          <w:b w:val="0"/>
          <w:sz w:val="24"/>
          <w:szCs w:val="24"/>
        </w:rPr>
        <w:t>mới của hệ thống giáo dục nghề nghiệp ở Việt Nam.</w:t>
      </w:r>
    </w:p>
    <w:p w:rsidR="00364C2A" w:rsidRPr="00BD6778" w:rsidRDefault="00D85AEA" w:rsidP="00D85AEA">
      <w:pPr>
        <w:spacing w:before="120" w:after="120" w:line="240" w:lineRule="auto"/>
        <w:ind w:firstLine="567"/>
        <w:jc w:val="both"/>
        <w:rPr>
          <w:rFonts w:ascii="Times New Roman" w:hAnsi="Times New Roman" w:cs="Times New Roman"/>
          <w:b/>
          <w:sz w:val="24"/>
          <w:szCs w:val="24"/>
        </w:rPr>
      </w:pPr>
      <w:r w:rsidRPr="00BD6778">
        <w:rPr>
          <w:rFonts w:ascii="Times New Roman" w:hAnsi="Times New Roman" w:cs="Times New Roman"/>
          <w:b/>
          <w:sz w:val="24"/>
          <w:szCs w:val="24"/>
        </w:rPr>
        <w:t xml:space="preserve">I. </w:t>
      </w:r>
      <w:r w:rsidR="00364C2A" w:rsidRPr="00BD6778">
        <w:rPr>
          <w:rFonts w:ascii="Times New Roman" w:hAnsi="Times New Roman" w:cs="Times New Roman"/>
          <w:b/>
          <w:sz w:val="24"/>
          <w:szCs w:val="24"/>
        </w:rPr>
        <w:t>Quy định pháp luật hiện hành về giáo dục nghề nghiệp</w:t>
      </w:r>
      <w:r w:rsidR="00FE18FC" w:rsidRPr="00BD6778">
        <w:rPr>
          <w:rStyle w:val="FootnoteReference"/>
          <w:rFonts w:ascii="Times New Roman" w:hAnsi="Times New Roman" w:cs="Times New Roman"/>
          <w:b/>
          <w:sz w:val="24"/>
          <w:szCs w:val="24"/>
        </w:rPr>
        <w:footnoteReference w:id="2"/>
      </w:r>
    </w:p>
    <w:p w:rsidR="00B40A1B" w:rsidRPr="00BD6778" w:rsidRDefault="00B51699" w:rsidP="00D85AEA">
      <w:pPr>
        <w:spacing w:before="120" w:after="120" w:line="240" w:lineRule="auto"/>
        <w:ind w:firstLine="567"/>
        <w:jc w:val="both"/>
        <w:rPr>
          <w:rFonts w:ascii="Times New Roman" w:hAnsi="Times New Roman" w:cs="Times New Roman"/>
          <w:bCs/>
          <w:sz w:val="24"/>
          <w:szCs w:val="24"/>
        </w:rPr>
      </w:pPr>
      <w:r w:rsidRPr="00BD6778">
        <w:rPr>
          <w:rFonts w:ascii="Times New Roman" w:hAnsi="Times New Roman" w:cs="Times New Roman"/>
          <w:sz w:val="24"/>
          <w:szCs w:val="24"/>
        </w:rPr>
        <w:t>Luật Giáo dục nghề nghiệp có 8 chương, 79 điều, thể hiện m</w:t>
      </w:r>
      <w:r w:rsidRPr="00BD6778">
        <w:rPr>
          <w:rFonts w:ascii="Times New Roman" w:eastAsia="Times New Roman" w:hAnsi="Times New Roman" w:cs="Times New Roman"/>
          <w:bCs/>
          <w:sz w:val="24"/>
          <w:szCs w:val="24"/>
        </w:rPr>
        <w:t xml:space="preserve">ột số nội dung </w:t>
      </w:r>
      <w:r w:rsidR="004F74E3" w:rsidRPr="00BD6778">
        <w:rPr>
          <w:rFonts w:ascii="Times New Roman" w:eastAsia="Times New Roman" w:hAnsi="Times New Roman" w:cs="Times New Roman"/>
          <w:bCs/>
          <w:sz w:val="24"/>
          <w:szCs w:val="24"/>
        </w:rPr>
        <w:t xml:space="preserve">chính, quan trọng </w:t>
      </w:r>
      <w:r w:rsidRPr="00BD6778">
        <w:rPr>
          <w:rFonts w:ascii="Times New Roman" w:eastAsia="Times New Roman" w:hAnsi="Times New Roman" w:cs="Times New Roman"/>
          <w:bCs/>
          <w:sz w:val="24"/>
          <w:szCs w:val="24"/>
        </w:rPr>
        <w:t xml:space="preserve">như: </w:t>
      </w:r>
    </w:p>
    <w:p w:rsidR="000B3BF6" w:rsidRPr="00BD6778" w:rsidRDefault="00364C2A" w:rsidP="00D85AEA">
      <w:pPr>
        <w:shd w:val="clear" w:color="auto" w:fill="FFFFFF"/>
        <w:spacing w:before="120" w:after="120" w:line="240" w:lineRule="auto"/>
        <w:ind w:firstLine="567"/>
        <w:jc w:val="both"/>
        <w:rPr>
          <w:rFonts w:ascii="Times New Roman" w:eastAsia="Times New Roman" w:hAnsi="Times New Roman" w:cs="Times New Roman"/>
          <w:b/>
          <w:sz w:val="24"/>
          <w:szCs w:val="24"/>
        </w:rPr>
      </w:pPr>
      <w:r w:rsidRPr="00BD6778">
        <w:rPr>
          <w:rFonts w:ascii="Times New Roman" w:eastAsia="Times New Roman" w:hAnsi="Times New Roman" w:cs="Times New Roman"/>
          <w:b/>
          <w:sz w:val="24"/>
          <w:szCs w:val="24"/>
        </w:rPr>
        <w:t>1.</w:t>
      </w:r>
      <w:r w:rsidR="0087165A" w:rsidRPr="00BD6778">
        <w:rPr>
          <w:rFonts w:ascii="Times New Roman" w:eastAsia="Times New Roman" w:hAnsi="Times New Roman" w:cs="Times New Roman"/>
          <w:b/>
          <w:sz w:val="24"/>
          <w:szCs w:val="24"/>
        </w:rPr>
        <w:t xml:space="preserve"> </w:t>
      </w:r>
      <w:r w:rsidR="004F74E3" w:rsidRPr="00BD6778">
        <w:rPr>
          <w:rFonts w:ascii="Times New Roman" w:eastAsia="Times New Roman" w:hAnsi="Times New Roman" w:cs="Times New Roman"/>
          <w:b/>
          <w:sz w:val="24"/>
          <w:szCs w:val="24"/>
        </w:rPr>
        <w:t>H</w:t>
      </w:r>
      <w:r w:rsidR="000B3BF6" w:rsidRPr="00BD6778">
        <w:rPr>
          <w:rFonts w:ascii="Times New Roman" w:eastAsia="Times New Roman" w:hAnsi="Times New Roman" w:cs="Times New Roman"/>
          <w:b/>
          <w:sz w:val="24"/>
          <w:szCs w:val="24"/>
        </w:rPr>
        <w:t>ệ thống giáo dục nghề nghiệp</w:t>
      </w:r>
      <w:r w:rsidR="006C7BC7" w:rsidRPr="00BD6778">
        <w:rPr>
          <w:rFonts w:ascii="Times New Roman" w:eastAsia="Times New Roman" w:hAnsi="Times New Roman" w:cs="Times New Roman"/>
          <w:b/>
          <w:sz w:val="24"/>
          <w:szCs w:val="24"/>
        </w:rPr>
        <w:t>, tên gọi các cơ sở giáo dục nghề nghiệp</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Luật Giáo dục nghề nghiệp cấu trúc lại hệ thống giáo dục quốc dân của Việt Nam, làm thay đổi toàn diện cấu trúc hệ thống giáo dục nghề nghiệp. Hệ thống giáo dục nghề nghiệp mới bao gồm: </w:t>
      </w:r>
      <w:r w:rsidRPr="00BD6778">
        <w:rPr>
          <w:rFonts w:ascii="Times New Roman" w:eastAsia="Times New Roman" w:hAnsi="Times New Roman" w:cs="Times New Roman"/>
          <w:b/>
          <w:bCs/>
          <w:i/>
          <w:iCs/>
          <w:sz w:val="24"/>
          <w:szCs w:val="24"/>
        </w:rPr>
        <w:t>Trình độ sơ cấp; trình độ trung cấp và trình độ cao đẳng</w:t>
      </w:r>
      <w:r w:rsidRPr="00BD6778">
        <w:rPr>
          <w:rFonts w:ascii="Times New Roman" w:eastAsia="Times New Roman" w:hAnsi="Times New Roman" w:cs="Times New Roman"/>
          <w:sz w:val="24"/>
          <w:szCs w:val="24"/>
        </w:rPr>
        <w:t>.</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Với việc cấu trúc lại hệ thống trình độ đào tạo, nên cơ sở giáo dục nghề nghiệp có sự đổi mới, gồm: </w:t>
      </w:r>
      <w:r w:rsidRPr="00BD6778">
        <w:rPr>
          <w:rFonts w:ascii="Times New Roman" w:eastAsia="Times New Roman" w:hAnsi="Times New Roman" w:cs="Times New Roman"/>
          <w:b/>
          <w:bCs/>
          <w:i/>
          <w:iCs/>
          <w:sz w:val="24"/>
          <w:szCs w:val="24"/>
        </w:rPr>
        <w:t>Trung tâm giáo dục nghề nghiệp </w:t>
      </w:r>
      <w:r w:rsidRPr="00BD6778">
        <w:rPr>
          <w:rFonts w:ascii="Times New Roman" w:eastAsia="Times New Roman" w:hAnsi="Times New Roman" w:cs="Times New Roman"/>
          <w:sz w:val="24"/>
          <w:szCs w:val="24"/>
        </w:rPr>
        <w:t>(là sự thống nhất của trung tâm kỹ thuật, tổng hợp, hướng nghiệp và trung tâm dạy nghề)</w:t>
      </w:r>
      <w:r w:rsidRPr="00BD6778">
        <w:rPr>
          <w:rFonts w:ascii="Times New Roman" w:eastAsia="Times New Roman" w:hAnsi="Times New Roman" w:cs="Times New Roman"/>
          <w:b/>
          <w:bCs/>
          <w:i/>
          <w:iCs/>
          <w:sz w:val="24"/>
          <w:szCs w:val="24"/>
        </w:rPr>
        <w:t>, trường trung cấp </w:t>
      </w:r>
      <w:r w:rsidRPr="00BD6778">
        <w:rPr>
          <w:rFonts w:ascii="Times New Roman" w:eastAsia="Times New Roman" w:hAnsi="Times New Roman" w:cs="Times New Roman"/>
          <w:sz w:val="24"/>
          <w:szCs w:val="24"/>
        </w:rPr>
        <w:t>(là sự thống nhất của trường trung cấp chuyên nghiệp và trường trung cấp nghề)</w:t>
      </w:r>
      <w:r w:rsidRPr="00BD6778">
        <w:rPr>
          <w:rFonts w:ascii="Times New Roman" w:eastAsia="Times New Roman" w:hAnsi="Times New Roman" w:cs="Times New Roman"/>
          <w:b/>
          <w:bCs/>
          <w:i/>
          <w:iCs/>
          <w:sz w:val="24"/>
          <w:szCs w:val="24"/>
        </w:rPr>
        <w:t>và trường cao đẳng</w:t>
      </w:r>
      <w:r w:rsidRPr="00BD6778">
        <w:rPr>
          <w:rFonts w:ascii="Times New Roman" w:eastAsia="Times New Roman" w:hAnsi="Times New Roman" w:cs="Times New Roman"/>
          <w:sz w:val="24"/>
          <w:szCs w:val="24"/>
        </w:rPr>
        <w:t> (là sự thống nhất của cao đẳng chuyên nghiệp và cao đẳng nghề). Thực chất là đưa trường cao đẳng chuyên nghiệp tách khỏi giáo dục đại học. Giáo dục đại học chỉ còn trường đại học đào tạo trình độ đại học, thạc sĩ và tiến sĩ.</w:t>
      </w:r>
    </w:p>
    <w:p w:rsidR="000B3BF6" w:rsidRPr="00BD6778" w:rsidRDefault="006C7BC7" w:rsidP="00D85AEA">
      <w:pPr>
        <w:shd w:val="clear" w:color="auto" w:fill="FFFFFF"/>
        <w:spacing w:before="120" w:after="120" w:line="240" w:lineRule="auto"/>
        <w:ind w:firstLine="567"/>
        <w:jc w:val="both"/>
        <w:rPr>
          <w:rFonts w:ascii="Times New Roman" w:eastAsia="Times New Roman" w:hAnsi="Times New Roman" w:cs="Times New Roman"/>
          <w:b/>
          <w:sz w:val="24"/>
          <w:szCs w:val="24"/>
        </w:rPr>
      </w:pPr>
      <w:r w:rsidRPr="00BD6778">
        <w:rPr>
          <w:rFonts w:ascii="Times New Roman" w:eastAsia="Times New Roman" w:hAnsi="Times New Roman" w:cs="Times New Roman"/>
          <w:b/>
          <w:sz w:val="24"/>
          <w:szCs w:val="24"/>
        </w:rPr>
        <w:t>2</w:t>
      </w:r>
      <w:r w:rsidR="00364C2A" w:rsidRPr="00BD6778">
        <w:rPr>
          <w:rFonts w:ascii="Times New Roman" w:eastAsia="Times New Roman" w:hAnsi="Times New Roman" w:cs="Times New Roman"/>
          <w:b/>
          <w:sz w:val="24"/>
          <w:szCs w:val="24"/>
        </w:rPr>
        <w:t>.</w:t>
      </w:r>
      <w:r w:rsidR="00D85AEA" w:rsidRPr="00BD6778">
        <w:rPr>
          <w:rFonts w:ascii="Times New Roman" w:eastAsia="Times New Roman" w:hAnsi="Times New Roman" w:cs="Times New Roman"/>
          <w:b/>
          <w:sz w:val="24"/>
          <w:szCs w:val="24"/>
        </w:rPr>
        <w:t xml:space="preserve"> </w:t>
      </w:r>
      <w:r w:rsidR="004F74E3" w:rsidRPr="00BD6778">
        <w:rPr>
          <w:rFonts w:ascii="Times New Roman" w:eastAsia="Times New Roman" w:hAnsi="Times New Roman" w:cs="Times New Roman"/>
          <w:b/>
          <w:sz w:val="24"/>
          <w:szCs w:val="24"/>
        </w:rPr>
        <w:t>Tổ</w:t>
      </w:r>
      <w:r w:rsidR="000B3BF6" w:rsidRPr="00BD6778">
        <w:rPr>
          <w:rFonts w:ascii="Times New Roman" w:eastAsia="Times New Roman" w:hAnsi="Times New Roman" w:cs="Times New Roman"/>
          <w:b/>
          <w:sz w:val="24"/>
          <w:szCs w:val="24"/>
        </w:rPr>
        <w:t xml:space="preserve"> chức quản lý, đào tạo</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Nếu trước đây, tổ chức đào tạo trong lĩnh vực giáo dục nghề nghiệp chỉ có phương thức đào tạo theo niên chế thì bây giờ Luật quy định rõ trong tổ chức quản lý đào tạo có thêm 2 phương thức đào tạo mới: Đào tạo theo tích lũy mô</w:t>
      </w:r>
      <w:r w:rsidR="00D21F26" w:rsidRPr="00BD6778">
        <w:rPr>
          <w:rFonts w:ascii="Times New Roman" w:eastAsia="Times New Roman" w:hAnsi="Times New Roman" w:cs="Times New Roman"/>
          <w:sz w:val="24"/>
          <w:szCs w:val="24"/>
        </w:rPr>
        <w:t xml:space="preserve"> -</w:t>
      </w:r>
      <w:r w:rsidRPr="00BD6778">
        <w:rPr>
          <w:rFonts w:ascii="Times New Roman" w:eastAsia="Times New Roman" w:hAnsi="Times New Roman" w:cs="Times New Roman"/>
          <w:sz w:val="24"/>
          <w:szCs w:val="24"/>
        </w:rPr>
        <w:t xml:space="preserve"> đun và đào tạo theo tích lũy tín chỉ. Các cơ sở giáo dục nghề nghiệp có quyền lựa chọn phương thức đào tạo theo điều kiện của từng cơ sở.</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Theo phương thức đào tạo này, hệ thống giáo dục nghề nghiệp sẽ là hệ thống mở, linh hoạt, đảm bảo liên thông thuận lợi giữa các cấp trình độ đào tạo trong c</w:t>
      </w:r>
      <w:r w:rsidR="00D21F26" w:rsidRPr="00BD6778">
        <w:rPr>
          <w:rFonts w:ascii="Times New Roman" w:eastAsia="Times New Roman" w:hAnsi="Times New Roman" w:cs="Times New Roman"/>
          <w:sz w:val="24"/>
          <w:szCs w:val="24"/>
        </w:rPr>
        <w:t>ùng nghề hoặc với các nghề khác</w:t>
      </w:r>
      <w:r w:rsidRPr="00BD6778">
        <w:rPr>
          <w:rFonts w:ascii="Times New Roman" w:eastAsia="Times New Roman" w:hAnsi="Times New Roman" w:cs="Times New Roman"/>
          <w:sz w:val="24"/>
          <w:szCs w:val="24"/>
        </w:rPr>
        <w:t>; người học được coi là trung tâm của quá trình đào tạo, được học theo năng lực, điều kiện, hoàn cảnh của cá nhân, có thể học nhiều nội dung trong cùng thời gian và được công nhận theo hình thức tích lũy các năng lực; người học có thể học rút ngắn hoặc kéo dài thời gian học tập hoàn toàn phụ thuộc vào năng lực, điều kiện, hoàn cảnh của cá nhân người học.</w:t>
      </w:r>
    </w:p>
    <w:p w:rsidR="000B3BF6" w:rsidRPr="00BD6778" w:rsidRDefault="00846B01" w:rsidP="00D85AEA">
      <w:pPr>
        <w:shd w:val="clear" w:color="auto" w:fill="FFFFFF"/>
        <w:spacing w:before="120" w:after="120" w:line="240" w:lineRule="auto"/>
        <w:ind w:firstLine="567"/>
        <w:jc w:val="both"/>
        <w:rPr>
          <w:rFonts w:ascii="Times New Roman" w:eastAsia="Times New Roman" w:hAnsi="Times New Roman" w:cs="Times New Roman"/>
          <w:b/>
          <w:sz w:val="24"/>
          <w:szCs w:val="24"/>
        </w:rPr>
      </w:pPr>
      <w:r w:rsidRPr="00BD6778">
        <w:rPr>
          <w:rFonts w:ascii="Times New Roman" w:eastAsia="Times New Roman" w:hAnsi="Times New Roman" w:cs="Times New Roman"/>
          <w:b/>
          <w:sz w:val="24"/>
          <w:szCs w:val="24"/>
        </w:rPr>
        <w:t>3</w:t>
      </w:r>
      <w:r w:rsidR="00364C2A" w:rsidRPr="00BD6778">
        <w:rPr>
          <w:rFonts w:ascii="Times New Roman" w:eastAsia="Times New Roman" w:hAnsi="Times New Roman" w:cs="Times New Roman"/>
          <w:b/>
          <w:sz w:val="24"/>
          <w:szCs w:val="24"/>
        </w:rPr>
        <w:t>.</w:t>
      </w:r>
      <w:r w:rsidR="0087165A" w:rsidRPr="00BD6778">
        <w:rPr>
          <w:rFonts w:ascii="Times New Roman" w:eastAsia="Times New Roman" w:hAnsi="Times New Roman" w:cs="Times New Roman"/>
          <w:b/>
          <w:sz w:val="24"/>
          <w:szCs w:val="24"/>
        </w:rPr>
        <w:t xml:space="preserve"> </w:t>
      </w:r>
      <w:r w:rsidR="004F74E3" w:rsidRPr="00BD6778">
        <w:rPr>
          <w:rFonts w:ascii="Times New Roman" w:eastAsia="Times New Roman" w:hAnsi="Times New Roman" w:cs="Times New Roman"/>
          <w:b/>
          <w:sz w:val="24"/>
          <w:szCs w:val="24"/>
        </w:rPr>
        <w:t>T</w:t>
      </w:r>
      <w:r w:rsidR="000B3BF6" w:rsidRPr="00BD6778">
        <w:rPr>
          <w:rFonts w:ascii="Times New Roman" w:eastAsia="Times New Roman" w:hAnsi="Times New Roman" w:cs="Times New Roman"/>
          <w:b/>
          <w:sz w:val="24"/>
          <w:szCs w:val="24"/>
        </w:rPr>
        <w:t>uyển sinh</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 xml:space="preserve">Theo quy định hiện hành, cơ sở dạy nghề chỉ được tuyển sinh theo quy mô của từng nghề đào tạo ghi trong giấy chứng nhận đăng ký hoạt động dạy nghề (do cơ quan quản lý có thẩm quyền cấp), không được tuyển vượt. Thậm chí nếu tuyển vượt 1 chỉ tiêu trình độ cao đẳng nghề thì bị xử lý vi phạm hành chính. Khắc phục bất cập đó, theo Luật Giáo dục nghề nghiệp cơ sở giáo dục nghề nghiệp được quyền tự chủ xác định chỉ tiêu tuyển sinh trên cơ sở điều kiện về số lượng, chất lượng đội ngũ nhà giáo, cơ sở vật chất và thiết bị đào tạo; được </w:t>
      </w:r>
      <w:r w:rsidRPr="00BD6778">
        <w:rPr>
          <w:rFonts w:ascii="Times New Roman" w:eastAsia="Times New Roman" w:hAnsi="Times New Roman" w:cs="Times New Roman"/>
          <w:sz w:val="24"/>
          <w:szCs w:val="24"/>
        </w:rPr>
        <w:lastRenderedPageBreak/>
        <w:t>tuyển sinh nhiều lần trong năm; được tổ chức xét tuyển, thi tuyển hoặc kết hợp giữa xét tuyển, thi tuyển.</w:t>
      </w:r>
    </w:p>
    <w:p w:rsidR="000B3BF6" w:rsidRPr="00BD6778" w:rsidRDefault="00846B01" w:rsidP="00D85AEA">
      <w:pPr>
        <w:shd w:val="clear" w:color="auto" w:fill="FFFFFF"/>
        <w:spacing w:before="120" w:after="120" w:line="240" w:lineRule="auto"/>
        <w:ind w:firstLine="567"/>
        <w:jc w:val="both"/>
        <w:rPr>
          <w:rFonts w:ascii="Times New Roman" w:eastAsia="Times New Roman" w:hAnsi="Times New Roman" w:cs="Times New Roman"/>
          <w:b/>
          <w:sz w:val="24"/>
          <w:szCs w:val="24"/>
        </w:rPr>
      </w:pPr>
      <w:r w:rsidRPr="00BD6778">
        <w:rPr>
          <w:rFonts w:ascii="Times New Roman" w:eastAsia="Times New Roman" w:hAnsi="Times New Roman" w:cs="Times New Roman"/>
          <w:b/>
          <w:sz w:val="24"/>
          <w:szCs w:val="24"/>
        </w:rPr>
        <w:t>4</w:t>
      </w:r>
      <w:r w:rsidR="00364C2A" w:rsidRPr="00BD6778">
        <w:rPr>
          <w:rFonts w:ascii="Times New Roman" w:eastAsia="Times New Roman" w:hAnsi="Times New Roman" w:cs="Times New Roman"/>
          <w:b/>
          <w:sz w:val="24"/>
          <w:szCs w:val="24"/>
        </w:rPr>
        <w:t>.</w:t>
      </w:r>
      <w:r w:rsidR="0087165A" w:rsidRPr="00BD6778">
        <w:rPr>
          <w:rFonts w:ascii="Times New Roman" w:eastAsia="Times New Roman" w:hAnsi="Times New Roman" w:cs="Times New Roman"/>
          <w:b/>
          <w:sz w:val="24"/>
          <w:szCs w:val="24"/>
        </w:rPr>
        <w:t xml:space="preserve"> </w:t>
      </w:r>
      <w:r w:rsidR="004F74E3" w:rsidRPr="00BD6778">
        <w:rPr>
          <w:rFonts w:ascii="Times New Roman" w:eastAsia="Times New Roman" w:hAnsi="Times New Roman" w:cs="Times New Roman"/>
          <w:b/>
          <w:sz w:val="24"/>
          <w:szCs w:val="24"/>
        </w:rPr>
        <w:t>Thời</w:t>
      </w:r>
      <w:r w:rsidR="000B3BF6" w:rsidRPr="00BD6778">
        <w:rPr>
          <w:rFonts w:ascii="Times New Roman" w:eastAsia="Times New Roman" w:hAnsi="Times New Roman" w:cs="Times New Roman"/>
          <w:b/>
          <w:sz w:val="24"/>
          <w:szCs w:val="24"/>
        </w:rPr>
        <w:t xml:space="preserve"> gian đào tạo trung cấp đối với những người tốt nghiệp trung học cơ sở</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Thời gian đào tạo trình độ trung cấp đối với người có bằng tốt nghiệp trung học cơ sở trở lên chỉ còn từ 01 đến 2 năm học tùy theo nghề đào tạo khi học theo niên chế (theo quy định hiện hành là từ 3 - 4 năm do phải học thêm văn hóa trung học phổ thông). Đối với người có bằng tốt nghiệp trung học cơ sở, nếu có nguyện vọng tiếp tục học lên trình độ cao hơn thì phải tích lũy thêm nội dung văn hóa trung học phổ thông. Đây là nội dung mang tính tự chọn. Như vậy, nội dung văn hóa trung học phổ thông không trở thành nội dung bắt buộc đối với người học như quy định của Luật Dạy nghề, Luật Giáo dục. Đối với thời gian học theo tích lũy mô-đun, tín chỉ là thời gian tích lũy đủ số lượng mô-đun, tín chỉ quy định cho từng chương trình đào tạo, không phụ thuộc vào số năm học.</w:t>
      </w:r>
    </w:p>
    <w:p w:rsidR="000B3BF6" w:rsidRPr="00BD6778" w:rsidRDefault="00846B01" w:rsidP="00D85AEA">
      <w:pPr>
        <w:shd w:val="clear" w:color="auto" w:fill="FFFFFF"/>
        <w:spacing w:before="120" w:after="120" w:line="240" w:lineRule="auto"/>
        <w:ind w:firstLine="567"/>
        <w:jc w:val="both"/>
        <w:rPr>
          <w:rFonts w:ascii="Times New Roman" w:eastAsia="Times New Roman" w:hAnsi="Times New Roman" w:cs="Times New Roman"/>
          <w:b/>
          <w:sz w:val="24"/>
          <w:szCs w:val="24"/>
        </w:rPr>
      </w:pPr>
      <w:r w:rsidRPr="00BD6778">
        <w:rPr>
          <w:rFonts w:ascii="Times New Roman" w:eastAsia="Times New Roman" w:hAnsi="Times New Roman" w:cs="Times New Roman"/>
          <w:b/>
          <w:sz w:val="24"/>
          <w:szCs w:val="24"/>
        </w:rPr>
        <w:t>5</w:t>
      </w:r>
      <w:r w:rsidR="00364C2A" w:rsidRPr="00BD6778">
        <w:rPr>
          <w:rFonts w:ascii="Times New Roman" w:eastAsia="Times New Roman" w:hAnsi="Times New Roman" w:cs="Times New Roman"/>
          <w:b/>
          <w:sz w:val="24"/>
          <w:szCs w:val="24"/>
        </w:rPr>
        <w:t xml:space="preserve">. </w:t>
      </w:r>
      <w:r w:rsidR="004F74E3" w:rsidRPr="00BD6778">
        <w:rPr>
          <w:rFonts w:ascii="Times New Roman" w:eastAsia="Times New Roman" w:hAnsi="Times New Roman" w:cs="Times New Roman"/>
          <w:b/>
          <w:sz w:val="24"/>
          <w:szCs w:val="24"/>
        </w:rPr>
        <w:t>Chương</w:t>
      </w:r>
      <w:r w:rsidR="000B3BF6" w:rsidRPr="00BD6778">
        <w:rPr>
          <w:rFonts w:ascii="Times New Roman" w:eastAsia="Times New Roman" w:hAnsi="Times New Roman" w:cs="Times New Roman"/>
          <w:b/>
          <w:sz w:val="24"/>
          <w:szCs w:val="24"/>
        </w:rPr>
        <w:t xml:space="preserve"> trình đào tạo</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Trước đây theo quy định của Luật Dạy nghề, Bộ Lao động-Thương binh và Xã hội ban hành chương trình khung đối với từng nghề đào tạo trình độ trung cấp và cao đẳng. Trên cơ sở chương trình khung, các cơ sở dạy nghề ban hành chương trình dạy nghề chi tiết. Theo Luật Giáo dục nghề nghiệp, Nhà nước không ban hành chương trình khung mà giao cho các cơ sở giáo dục nghề nghiệp tự chủ xây dựng chương trình đào tạo. Hiện nay, theo Dự thảo Khung trình độ quốc gia của Việt Nam, Khung trình độ gồm 8 bậc: Bậc 1, 2 tương đương ở mức đào tạo dưới 3 tháng (ngắn hạn); Bậc 3 trình độ sơ cấp; Bậc 4 trình độ trung cấp; Bậc 5 trình độ cao đẳng; Bậc 6 đại học, Bậc 7 cao học, Bậc 8 Tiến sĩ. Theo đó, các cơ sở giáo dục nghề nghiệp căn cứ vào chuẩn đầu ra của từng bậc trong khung trình độ quốc gia để xây dựng chương trình đào tạo cho phù hợp.</w:t>
      </w:r>
    </w:p>
    <w:p w:rsidR="000B3BF6" w:rsidRPr="00BD6778" w:rsidRDefault="00846B01" w:rsidP="00D85AEA">
      <w:pPr>
        <w:shd w:val="clear" w:color="auto" w:fill="FFFFFF"/>
        <w:spacing w:before="120" w:after="120" w:line="240" w:lineRule="auto"/>
        <w:ind w:firstLine="567"/>
        <w:jc w:val="both"/>
        <w:rPr>
          <w:rFonts w:ascii="Times New Roman" w:eastAsia="Times New Roman" w:hAnsi="Times New Roman" w:cs="Times New Roman"/>
          <w:b/>
          <w:sz w:val="24"/>
          <w:szCs w:val="24"/>
        </w:rPr>
      </w:pPr>
      <w:r w:rsidRPr="00BD6778">
        <w:rPr>
          <w:rFonts w:ascii="Times New Roman" w:eastAsia="Times New Roman" w:hAnsi="Times New Roman" w:cs="Times New Roman"/>
          <w:b/>
          <w:sz w:val="24"/>
          <w:szCs w:val="24"/>
        </w:rPr>
        <w:t>6</w:t>
      </w:r>
      <w:r w:rsidR="006C7BC7" w:rsidRPr="00BD6778">
        <w:rPr>
          <w:rFonts w:ascii="Times New Roman" w:eastAsia="Times New Roman" w:hAnsi="Times New Roman" w:cs="Times New Roman"/>
          <w:b/>
          <w:sz w:val="24"/>
          <w:szCs w:val="24"/>
        </w:rPr>
        <w:t>.</w:t>
      </w:r>
      <w:r w:rsidR="004F74E3" w:rsidRPr="00BD6778">
        <w:rPr>
          <w:rFonts w:ascii="Times New Roman" w:eastAsia="Times New Roman" w:hAnsi="Times New Roman" w:cs="Times New Roman"/>
          <w:b/>
          <w:sz w:val="24"/>
          <w:szCs w:val="24"/>
        </w:rPr>
        <w:t xml:space="preserve"> Kiểm</w:t>
      </w:r>
      <w:r w:rsidR="000B3BF6" w:rsidRPr="00BD6778">
        <w:rPr>
          <w:rFonts w:ascii="Times New Roman" w:eastAsia="Times New Roman" w:hAnsi="Times New Roman" w:cs="Times New Roman"/>
          <w:b/>
          <w:sz w:val="24"/>
          <w:szCs w:val="24"/>
        </w:rPr>
        <w:t xml:space="preserve"> tra, thi, xét công nhận tốt nghiệp và cấp bằng tốt nghiệp</w:t>
      </w:r>
    </w:p>
    <w:p w:rsidR="000B3BF6" w:rsidRPr="00BD6778" w:rsidRDefault="000B3BF6" w:rsidP="00D85AEA">
      <w:pPr>
        <w:shd w:val="clear" w:color="auto" w:fill="FFFFFF"/>
        <w:spacing w:before="120" w:after="120" w:line="240" w:lineRule="auto"/>
        <w:ind w:firstLine="567"/>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Với phương thức đào tạo mới, Luật Giáo dục nghề nghiệp quy định đối với chương trình đào tạo theo tích lũy mô-đun, tín chỉ nếu người học tích lũy đủ môn-đun, tín chỉ theo quy định của chương trình đào tạo thì được xét công nhận tốt nghiệp và cấp bằng tốt nghiệp, không phải thi tốt nghiệp cuối khóa. Đối với người tốt nghiệp trình độ cao đẳng được cấp bằng cao đẳng và công nhận danh hiệu </w:t>
      </w:r>
      <w:r w:rsidRPr="00BD6778">
        <w:rPr>
          <w:rFonts w:ascii="Times New Roman" w:eastAsia="Times New Roman" w:hAnsi="Times New Roman" w:cs="Times New Roman"/>
          <w:b/>
          <w:bCs/>
          <w:i/>
          <w:iCs/>
          <w:sz w:val="24"/>
          <w:szCs w:val="24"/>
        </w:rPr>
        <w:t>kỹ sư thực hành hoặc cử nhân thực hành </w:t>
      </w:r>
      <w:r w:rsidRPr="00BD6778">
        <w:rPr>
          <w:rFonts w:ascii="Times New Roman" w:eastAsia="Times New Roman" w:hAnsi="Times New Roman" w:cs="Times New Roman"/>
          <w:sz w:val="24"/>
          <w:szCs w:val="24"/>
        </w:rPr>
        <w:t>tùy vào ngành nghề đào tạo.</w:t>
      </w:r>
    </w:p>
    <w:p w:rsidR="000B3BF6" w:rsidRPr="00BD6778" w:rsidRDefault="00846B01" w:rsidP="00D85AEA">
      <w:pPr>
        <w:shd w:val="clear" w:color="auto" w:fill="FFFFFF"/>
        <w:spacing w:before="120" w:after="120" w:line="240" w:lineRule="auto"/>
        <w:ind w:firstLine="567"/>
        <w:rPr>
          <w:rFonts w:ascii="Times New Roman" w:eastAsia="Times New Roman" w:hAnsi="Times New Roman" w:cs="Times New Roman"/>
          <w:b/>
          <w:sz w:val="24"/>
          <w:szCs w:val="24"/>
        </w:rPr>
      </w:pPr>
      <w:r w:rsidRPr="00BD6778">
        <w:rPr>
          <w:rFonts w:ascii="Times New Roman" w:eastAsia="Times New Roman" w:hAnsi="Times New Roman" w:cs="Times New Roman"/>
          <w:b/>
          <w:sz w:val="24"/>
          <w:szCs w:val="24"/>
        </w:rPr>
        <w:t>7</w:t>
      </w:r>
      <w:r w:rsidR="006C7BC7" w:rsidRPr="00BD6778">
        <w:rPr>
          <w:rFonts w:ascii="Times New Roman" w:eastAsia="Times New Roman" w:hAnsi="Times New Roman" w:cs="Times New Roman"/>
          <w:b/>
          <w:sz w:val="24"/>
          <w:szCs w:val="24"/>
        </w:rPr>
        <w:t>.</w:t>
      </w:r>
      <w:r w:rsidR="00D85AEA" w:rsidRPr="00BD6778">
        <w:rPr>
          <w:rFonts w:ascii="Times New Roman" w:eastAsia="Times New Roman" w:hAnsi="Times New Roman" w:cs="Times New Roman"/>
          <w:b/>
          <w:sz w:val="24"/>
          <w:szCs w:val="24"/>
        </w:rPr>
        <w:t xml:space="preserve"> </w:t>
      </w:r>
      <w:r w:rsidR="004F74E3" w:rsidRPr="00BD6778">
        <w:rPr>
          <w:rFonts w:ascii="Times New Roman" w:eastAsia="Times New Roman" w:hAnsi="Times New Roman" w:cs="Times New Roman"/>
          <w:b/>
          <w:sz w:val="24"/>
          <w:szCs w:val="24"/>
        </w:rPr>
        <w:t>Chính</w:t>
      </w:r>
      <w:r w:rsidR="000B3BF6" w:rsidRPr="00BD6778">
        <w:rPr>
          <w:rFonts w:ascii="Times New Roman" w:eastAsia="Times New Roman" w:hAnsi="Times New Roman" w:cs="Times New Roman"/>
          <w:b/>
          <w:sz w:val="24"/>
          <w:szCs w:val="24"/>
        </w:rPr>
        <w:t xml:space="preserve"> sách với người học</w:t>
      </w:r>
      <w:r w:rsidR="006C7BC7" w:rsidRPr="00BD6778">
        <w:rPr>
          <w:rFonts w:ascii="Times New Roman" w:eastAsia="Times New Roman" w:hAnsi="Times New Roman" w:cs="Times New Roman"/>
          <w:b/>
          <w:sz w:val="24"/>
          <w:szCs w:val="24"/>
        </w:rPr>
        <w:t xml:space="preserve"> và nhà giáo</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Chính sách đối với người học được thể hiện mạnh mẽ trong Luật Giáo dục nghề nghiệp. Đây được coi là một trong những giải pháp thực hiện phân luồng, thu hút người học, tạo sự hấp dẫn đối với người học tham gia giáo dục nghề nghiệp, cụ thể như:</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 Người học </w:t>
      </w:r>
      <w:r w:rsidRPr="00BD6778">
        <w:rPr>
          <w:rFonts w:ascii="Times New Roman" w:eastAsia="Times New Roman" w:hAnsi="Times New Roman" w:cs="Times New Roman"/>
          <w:b/>
          <w:bCs/>
          <w:i/>
          <w:iCs/>
          <w:sz w:val="24"/>
          <w:szCs w:val="24"/>
        </w:rPr>
        <w:t>được miễn học phí</w:t>
      </w:r>
      <w:r w:rsidRPr="00BD6778">
        <w:rPr>
          <w:rFonts w:ascii="Times New Roman" w:eastAsia="Times New Roman" w:hAnsi="Times New Roman" w:cs="Times New Roman"/>
          <w:sz w:val="24"/>
          <w:szCs w:val="24"/>
        </w:rPr>
        <w:t> đối với các đối tượng chính sách xã hội; đối với người học tốt nghiệp trung học cơ sở (lớp 9) khi học trung cấp; đối với những nghề khó tuyển sinh nhưng xã hội có nhu cầu và những ngành nghề đặc thù;</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 Người học </w:t>
      </w:r>
      <w:r w:rsidRPr="00BD6778">
        <w:rPr>
          <w:rFonts w:ascii="Times New Roman" w:eastAsia="Times New Roman" w:hAnsi="Times New Roman" w:cs="Times New Roman"/>
          <w:b/>
          <w:bCs/>
          <w:i/>
          <w:iCs/>
          <w:sz w:val="24"/>
          <w:szCs w:val="24"/>
        </w:rPr>
        <w:t>được hưởng chính sách nội trú</w:t>
      </w:r>
      <w:r w:rsidRPr="00BD6778">
        <w:rPr>
          <w:rFonts w:ascii="Times New Roman" w:eastAsia="Times New Roman" w:hAnsi="Times New Roman" w:cs="Times New Roman"/>
          <w:sz w:val="24"/>
          <w:szCs w:val="24"/>
        </w:rPr>
        <w:t> đối với người dân tộc thiểu số thuộc hộ nghèo, cận nghèo, người khuyết tật; người dân tộc kinh thuộc hộ nghèo, cận nghèo, người khuyết tật có hộ khẩu thường trú tại vùng có điều kiện kinh tế - xã hội đặc biệt khó khăn, vùng dân tộc thiểu số, biên giới, hải đảo; học sinh trường phổ thông dân tộc nội trú khi học trình độ trung cấp, trình độ cao đẳng</w:t>
      </w:r>
      <w:r w:rsidR="001C2082" w:rsidRPr="00BD6778">
        <w:rPr>
          <w:rFonts w:ascii="Times New Roman" w:eastAsia="Times New Roman" w:hAnsi="Times New Roman" w:cs="Times New Roman"/>
          <w:sz w:val="24"/>
          <w:szCs w:val="24"/>
        </w:rPr>
        <w:t>;</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 Người học sau khi tốt nghiệp </w:t>
      </w:r>
      <w:r w:rsidRPr="00BD6778">
        <w:rPr>
          <w:rFonts w:ascii="Times New Roman" w:eastAsia="Times New Roman" w:hAnsi="Times New Roman" w:cs="Times New Roman"/>
          <w:b/>
          <w:bCs/>
          <w:i/>
          <w:iCs/>
          <w:sz w:val="24"/>
          <w:szCs w:val="24"/>
        </w:rPr>
        <w:t>được tuyển dụng vào các cơ quan nhà nước</w:t>
      </w:r>
      <w:r w:rsidRPr="00BD6778">
        <w:rPr>
          <w:rFonts w:ascii="Times New Roman" w:eastAsia="Times New Roman" w:hAnsi="Times New Roman" w:cs="Times New Roman"/>
          <w:sz w:val="24"/>
          <w:szCs w:val="24"/>
        </w:rPr>
        <w:t>, tổ chức chính trị - xã hội, đơn vị sự nghiệp công lập; được hưởng tiền lương theo thỏa thuận với người sử dụng lao động dựa trên vị trí việc làm, năng lực làm việc nhưng không được thấp hơn mức lương tối thiểu, mức lương cơ sở hoặc khởi điểm.</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 xml:space="preserve">Luật Giáo dục nghề nghiệp quy định về các chức danh đối với nhà giáo trong cơ sở giáo dục nghề nghiệp, quy định thang bảng lương gắn với chức danh; quy định rõ chính sách tôn vinh (nhà giáo nhân dân, nhà giáo ưu tú), kéo dài thời gian làm việc với những nhà giáo có </w:t>
      </w:r>
      <w:r w:rsidRPr="00BD6778">
        <w:rPr>
          <w:rFonts w:ascii="Times New Roman" w:eastAsia="Times New Roman" w:hAnsi="Times New Roman" w:cs="Times New Roman"/>
          <w:sz w:val="24"/>
          <w:szCs w:val="24"/>
        </w:rPr>
        <w:lastRenderedPageBreak/>
        <w:t>trình độ, học hàm học vị, có tay nghề cao. Nhà giáo dạy thực hành, vừa dạy lý thuyết thực hành được hưởng phụ cấp ưu đãi theo quy định của Chính phủ.</w:t>
      </w:r>
    </w:p>
    <w:p w:rsidR="000B3BF6" w:rsidRPr="00BD6778" w:rsidRDefault="00846B01"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b/>
          <w:sz w:val="24"/>
          <w:szCs w:val="24"/>
        </w:rPr>
        <w:t>8</w:t>
      </w:r>
      <w:r w:rsidR="002E17CA" w:rsidRPr="00BD6778">
        <w:rPr>
          <w:rFonts w:ascii="Times New Roman" w:eastAsia="Times New Roman" w:hAnsi="Times New Roman" w:cs="Times New Roman"/>
          <w:b/>
          <w:sz w:val="24"/>
          <w:szCs w:val="24"/>
        </w:rPr>
        <w:t>.</w:t>
      </w:r>
      <w:r w:rsidR="00D85AEA" w:rsidRPr="00BD6778">
        <w:rPr>
          <w:rFonts w:ascii="Times New Roman" w:eastAsia="Times New Roman" w:hAnsi="Times New Roman" w:cs="Times New Roman"/>
          <w:b/>
          <w:sz w:val="24"/>
          <w:szCs w:val="24"/>
        </w:rPr>
        <w:t xml:space="preserve"> </w:t>
      </w:r>
      <w:r w:rsidR="004F74E3" w:rsidRPr="00BD6778">
        <w:rPr>
          <w:rFonts w:ascii="Times New Roman" w:eastAsia="Times New Roman" w:hAnsi="Times New Roman" w:cs="Times New Roman"/>
          <w:b/>
          <w:sz w:val="24"/>
          <w:szCs w:val="24"/>
        </w:rPr>
        <w:t>Chính</w:t>
      </w:r>
      <w:r w:rsidR="000B3BF6" w:rsidRPr="00BD6778">
        <w:rPr>
          <w:rFonts w:ascii="Times New Roman" w:eastAsia="Times New Roman" w:hAnsi="Times New Roman" w:cs="Times New Roman"/>
          <w:b/>
          <w:sz w:val="24"/>
          <w:szCs w:val="24"/>
        </w:rPr>
        <w:t xml:space="preserve"> sách gắn kết cơ sở giáo dục nghề nghiệp với doanh nghiệp</w:t>
      </w:r>
      <w:r w:rsidR="006C7BC7" w:rsidRPr="00BD6778">
        <w:rPr>
          <w:rFonts w:ascii="Times New Roman" w:eastAsia="Times New Roman" w:hAnsi="Times New Roman" w:cs="Times New Roman"/>
          <w:b/>
          <w:sz w:val="24"/>
          <w:szCs w:val="24"/>
        </w:rPr>
        <w:t>, nâng cao tính tự chủ của cơ sở giáo dục nghề nghiệp</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Doanh nghiệp tham gia hoạt động giáo dục nghề nghiệp với vai trò là chủ thể có quyền và trách nhiệm như nhau trong hoạt động giáo dục nghề nghiệp. Toàn bộ chi phí cho hoạt động giáo dục nghề nghiệp được trừ để tính thu nhập chịu thuế. Nội dung này không chỉ quy định trong Luật Giáo dục nghề nghiệp mà còn được cụ thể hơn trong Luật Sửa đổi, bổ sung một số điều của các luật thuế cũng được Quốc hội Khóa XIII, kỳ họp thứ 8 thông qua.</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Cơ sở giáo dục nghề nghiệp tự chủ trong các hoạt động thuộc các lĩnh vực tổ chức và nhân sự, tài chính và tài sản, đào tạo và công nghệ, hợp tác quốc tế, bảo đảm chất lượng đào tạo theo quy định của pháp luật. Cơ sở giáo dục nghề nghiệp công lập tự bảo đảm toàn bộ kinh phí hoạt động chi thường xuyên và chi đầu tư được thực hiện tự chủ, tự chịu trách nhiệm toàn diện theo quy định của Chính phủ.</w:t>
      </w:r>
    </w:p>
    <w:p w:rsidR="000B3BF6" w:rsidRPr="00BD6778" w:rsidRDefault="00846B01" w:rsidP="00D85AEA">
      <w:pPr>
        <w:shd w:val="clear" w:color="auto" w:fill="FFFFFF"/>
        <w:spacing w:before="120" w:after="120" w:line="240" w:lineRule="auto"/>
        <w:ind w:firstLine="567"/>
        <w:jc w:val="both"/>
        <w:rPr>
          <w:rFonts w:ascii="Times New Roman" w:eastAsia="Times New Roman" w:hAnsi="Times New Roman" w:cs="Times New Roman"/>
          <w:b/>
          <w:sz w:val="24"/>
          <w:szCs w:val="24"/>
        </w:rPr>
      </w:pPr>
      <w:r w:rsidRPr="00BD6778">
        <w:rPr>
          <w:rFonts w:ascii="Times New Roman" w:eastAsia="Times New Roman" w:hAnsi="Times New Roman" w:cs="Times New Roman"/>
          <w:b/>
          <w:sz w:val="24"/>
          <w:szCs w:val="24"/>
        </w:rPr>
        <w:t>9</w:t>
      </w:r>
      <w:r w:rsidR="006C7BC7" w:rsidRPr="00BD6778">
        <w:rPr>
          <w:rFonts w:ascii="Times New Roman" w:eastAsia="Times New Roman" w:hAnsi="Times New Roman" w:cs="Times New Roman"/>
          <w:b/>
          <w:sz w:val="24"/>
          <w:szCs w:val="24"/>
        </w:rPr>
        <w:t>.</w:t>
      </w:r>
      <w:r w:rsidR="00D85AEA" w:rsidRPr="00BD6778">
        <w:rPr>
          <w:rFonts w:ascii="Times New Roman" w:eastAsia="Times New Roman" w:hAnsi="Times New Roman" w:cs="Times New Roman"/>
          <w:b/>
          <w:sz w:val="24"/>
          <w:szCs w:val="24"/>
        </w:rPr>
        <w:t xml:space="preserve"> </w:t>
      </w:r>
      <w:r w:rsidR="004F74E3" w:rsidRPr="00BD6778">
        <w:rPr>
          <w:rFonts w:ascii="Times New Roman" w:eastAsia="Times New Roman" w:hAnsi="Times New Roman" w:cs="Times New Roman"/>
          <w:b/>
          <w:sz w:val="24"/>
          <w:szCs w:val="24"/>
        </w:rPr>
        <w:t>H</w:t>
      </w:r>
      <w:r w:rsidR="000B3BF6" w:rsidRPr="00BD6778">
        <w:rPr>
          <w:rFonts w:ascii="Times New Roman" w:eastAsia="Times New Roman" w:hAnsi="Times New Roman" w:cs="Times New Roman"/>
          <w:b/>
          <w:sz w:val="24"/>
          <w:szCs w:val="24"/>
        </w:rPr>
        <w:t>ợp tác quốc tế trong lĩnh vực giáo dục nghề nghiệp</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Xác định hội nhập là xu thế tất yếu, Luật Giáo dục nghề nghiệp có một mục riêng quy định về hợp tác quốc tế, như: Quy định các hình thức hợp tác quốc tế; liên kết đào tạo với nước ngoài; thành lập văn phòng đại diện của cơ sở nước ngoài tại Việt Nam và văn phòng đại diện của cơ sở giáo dục nghề nghiệp Việt Nam tại nước ngoài; quy định việc công nhận tương đương đối với những người đã tốt nghiệp các trình độ đào tạo nghề nghiệp ở nước ngoài; quy định trình tự, thủ tục công nhận bằng, chứng chỉ giáo dục nghề nghiệp do cơ sở giáo dục nghề nghiệp nước ngoài cấp.v.v...</w:t>
      </w:r>
    </w:p>
    <w:p w:rsidR="000B3BF6" w:rsidRPr="00BD6778" w:rsidRDefault="000B3BF6"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Ngoài những nội dung nêu trên, Luật Giáo dục nghề nghiệp đã quy định về nhiều nội dung quan trọng khác như mục tiêu; kiểm định chất lượng đào tạo nghề nghiệp; về chính sách xã hội hóa.v.v…</w:t>
      </w:r>
    </w:p>
    <w:p w:rsidR="00B51699" w:rsidRPr="00BD6778" w:rsidRDefault="006C7BC7" w:rsidP="00D85AEA">
      <w:pPr>
        <w:spacing w:before="120" w:after="120" w:line="240" w:lineRule="auto"/>
        <w:ind w:firstLine="567"/>
        <w:jc w:val="both"/>
        <w:rPr>
          <w:rFonts w:ascii="Times New Roman" w:eastAsia="Times New Roman" w:hAnsi="Times New Roman" w:cs="Times New Roman"/>
          <w:b/>
          <w:sz w:val="24"/>
          <w:szCs w:val="24"/>
        </w:rPr>
      </w:pPr>
      <w:r w:rsidRPr="00BD6778">
        <w:rPr>
          <w:rFonts w:ascii="Times New Roman" w:eastAsia="Times New Roman" w:hAnsi="Times New Roman" w:cs="Times New Roman"/>
          <w:b/>
          <w:sz w:val="24"/>
          <w:szCs w:val="24"/>
        </w:rPr>
        <w:t>II. N</w:t>
      </w:r>
      <w:r w:rsidR="00B40A1B" w:rsidRPr="00BD6778">
        <w:rPr>
          <w:rFonts w:ascii="Times New Roman" w:eastAsia="Times New Roman" w:hAnsi="Times New Roman" w:cs="Times New Roman"/>
          <w:b/>
          <w:sz w:val="24"/>
          <w:szCs w:val="24"/>
        </w:rPr>
        <w:t xml:space="preserve">hững vướng mắc, bất cập </w:t>
      </w:r>
      <w:r w:rsidRPr="00BD6778">
        <w:rPr>
          <w:rFonts w:ascii="Times New Roman" w:eastAsia="Times New Roman" w:hAnsi="Times New Roman" w:cs="Times New Roman"/>
          <w:b/>
          <w:sz w:val="24"/>
          <w:szCs w:val="24"/>
        </w:rPr>
        <w:t>của Luật giáo dục nghề nghiệp</w:t>
      </w:r>
    </w:p>
    <w:p w:rsidR="00CF1E38" w:rsidRPr="00BD6778" w:rsidRDefault="00C44910" w:rsidP="00D85AEA">
      <w:pPr>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Mặc dù vậy, Luật giáo dục nghề nghiệp vẫn còn một số hạn chế nhất định. Trong quá trình thực hiện nhiệm vụ kiểm tra xử lý văn bản QPPL, tiếp cận với hệ thống pháp luật giáo dục nghề nghiệp, không ít những vướng mắc, bất cập đã được phát hiện. Trong phạm vi chuyên đề, xin được nêu một số ví dụ, để cung cấp thêm một góc nhìn đối với các quy định của pháp luật trong lĩnh vực này.</w:t>
      </w:r>
    </w:p>
    <w:p w:rsidR="0085104D" w:rsidRPr="00BD6778" w:rsidRDefault="00B40A1B" w:rsidP="00D85AEA">
      <w:pPr>
        <w:spacing w:before="120" w:after="120" w:line="240" w:lineRule="auto"/>
        <w:ind w:firstLine="567"/>
        <w:jc w:val="both"/>
        <w:rPr>
          <w:rFonts w:ascii="Times New Roman" w:eastAsia="Times New Roman" w:hAnsi="Times New Roman" w:cs="Times New Roman"/>
          <w:b/>
          <w:sz w:val="24"/>
          <w:szCs w:val="24"/>
        </w:rPr>
      </w:pPr>
      <w:r w:rsidRPr="00BD6778">
        <w:rPr>
          <w:rFonts w:ascii="Times New Roman" w:eastAsia="Times New Roman" w:hAnsi="Times New Roman" w:cs="Times New Roman"/>
          <w:b/>
          <w:sz w:val="24"/>
          <w:szCs w:val="24"/>
        </w:rPr>
        <w:t>1. Bất cập trong quy định đại hội đồng cổ đông</w:t>
      </w:r>
      <w:r w:rsidR="0085104D" w:rsidRPr="00BD6778">
        <w:rPr>
          <w:rFonts w:ascii="Times New Roman" w:eastAsia="Times New Roman" w:hAnsi="Times New Roman" w:cs="Times New Roman"/>
          <w:b/>
          <w:sz w:val="24"/>
          <w:szCs w:val="24"/>
        </w:rPr>
        <w:t>, thành phần tham gia hội đồng quản trị của trường trung cấp/cao đẳng tư thục</w:t>
      </w:r>
    </w:p>
    <w:p w:rsidR="0085104D" w:rsidRPr="00BD6778" w:rsidRDefault="0085104D" w:rsidP="00D85AEA">
      <w:pPr>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Điều 12 Luật giáo dục nghề nghiệp quy định:</w:t>
      </w:r>
    </w:p>
    <w:p w:rsidR="0085104D" w:rsidRPr="00BD6778" w:rsidRDefault="0085104D" w:rsidP="00D85AEA">
      <w:pPr>
        <w:pStyle w:val="NormalWeb"/>
        <w:shd w:val="clear" w:color="auto" w:fill="FFFFFF"/>
        <w:spacing w:before="120" w:beforeAutospacing="0" w:after="120" w:afterAutospacing="0"/>
        <w:ind w:firstLine="567"/>
        <w:jc w:val="both"/>
        <w:rPr>
          <w:i/>
        </w:rPr>
      </w:pPr>
      <w:bookmarkStart w:id="0" w:name="dieu_12"/>
      <w:r w:rsidRPr="00BD6778">
        <w:rPr>
          <w:i/>
        </w:rPr>
        <w:t>“</w:t>
      </w:r>
      <w:r w:rsidRPr="00BD6778">
        <w:rPr>
          <w:b/>
          <w:bCs/>
          <w:i/>
        </w:rPr>
        <w:t>Điều 12. Hội đồng quản trị</w:t>
      </w:r>
      <w:bookmarkEnd w:id="0"/>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 xml:space="preserve">1. </w:t>
      </w:r>
      <w:r w:rsidRPr="00BD6778">
        <w:rPr>
          <w:rFonts w:ascii="Times New Roman" w:eastAsia="Times New Roman" w:hAnsi="Times New Roman" w:cs="Times New Roman"/>
          <w:i/>
          <w:sz w:val="24"/>
          <w:szCs w:val="24"/>
          <w:u w:val="single"/>
        </w:rPr>
        <w:t>Hội đồng quản trị được thành lập ở trường trung cấp, trường cao đẳng tư thục.</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 xml:space="preserve">2. </w:t>
      </w:r>
      <w:r w:rsidRPr="00BD6778">
        <w:rPr>
          <w:rFonts w:ascii="Times New Roman" w:eastAsia="Times New Roman" w:hAnsi="Times New Roman" w:cs="Times New Roman"/>
          <w:b/>
          <w:i/>
          <w:sz w:val="24"/>
          <w:szCs w:val="24"/>
        </w:rPr>
        <w:t>Hội đồng quản trị là tổ chức đại diện duy nhất cho chủ sở hữu của nhà trường, có nhiệm vụ, quyền hạn sau đây</w:t>
      </w:r>
      <w:r w:rsidRPr="00BD6778">
        <w:rPr>
          <w:rFonts w:ascii="Times New Roman" w:eastAsia="Times New Roman" w:hAnsi="Times New Roman" w:cs="Times New Roman"/>
          <w:i/>
          <w:sz w:val="24"/>
          <w:szCs w:val="24"/>
        </w:rPr>
        <w:t>:</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 xml:space="preserve">a) </w:t>
      </w:r>
      <w:r w:rsidRPr="00BD6778">
        <w:rPr>
          <w:rFonts w:ascii="Times New Roman" w:eastAsia="Times New Roman" w:hAnsi="Times New Roman" w:cs="Times New Roman"/>
          <w:i/>
          <w:sz w:val="24"/>
          <w:szCs w:val="24"/>
          <w:u w:val="single"/>
        </w:rPr>
        <w:t>Tổ chức thực hiện các nghị quyết của đại hội đồng cổ đông</w:t>
      </w:r>
      <w:r w:rsidRPr="00BD6778">
        <w:rPr>
          <w:rFonts w:ascii="Times New Roman" w:eastAsia="Times New Roman" w:hAnsi="Times New Roman" w:cs="Times New Roman"/>
          <w:i/>
          <w:sz w:val="24"/>
          <w:szCs w:val="24"/>
        </w:rPr>
        <w:t>;</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b) Quyết nghị phương hướng, mục tiêu, chiến lược, quy hoạch, kế hoạch phát triển và quy chế, tổ chức hoạt động của nhà trường;</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c) Quyết nghị cơ cấu tổ chức trường; về việc thành lập, sáp nhập, chia, tách, giải thể các tổ chức của nhà trường; về việc bổ nhiệm, miễn nhiệm hiệu trưởng và đề nghị cơ quan nhà nước có thẩm quyền công nhận hoặc không công nhận hiệu trưởng;</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d) Quyết nghị phương hướng hoạt động đào tạo, hợp tác quốc tế;</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lastRenderedPageBreak/>
        <w:t>đ) Quyết nghị những vấn đề về tổ chức, nhân sự, tài chính, tài sản và phương hướng đầu tư phát triển của nhà trường;</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 xml:space="preserve">e) </w:t>
      </w:r>
      <w:r w:rsidRPr="00BD6778">
        <w:rPr>
          <w:rFonts w:ascii="Times New Roman" w:eastAsia="Times New Roman" w:hAnsi="Times New Roman" w:cs="Times New Roman"/>
          <w:i/>
          <w:sz w:val="24"/>
          <w:szCs w:val="24"/>
          <w:u w:val="single"/>
        </w:rPr>
        <w:t>Giám sát việc thực hiện các nghị quyết của hội đồng quản trị, đại hội đồng cổ đông</w:t>
      </w:r>
      <w:r w:rsidRPr="00BD6778">
        <w:rPr>
          <w:rFonts w:ascii="Times New Roman" w:eastAsia="Times New Roman" w:hAnsi="Times New Roman" w:cs="Times New Roman"/>
          <w:i/>
          <w:sz w:val="24"/>
          <w:szCs w:val="24"/>
        </w:rPr>
        <w:t>, việc thực hiện quy chế dân chủ trong hoạt động của nhà trường.</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3</w:t>
      </w:r>
      <w:r w:rsidRPr="00BD6778">
        <w:rPr>
          <w:rFonts w:ascii="Times New Roman" w:eastAsia="Times New Roman" w:hAnsi="Times New Roman" w:cs="Times New Roman"/>
          <w:b/>
          <w:i/>
          <w:sz w:val="24"/>
          <w:szCs w:val="24"/>
        </w:rPr>
        <w:t>. Thành phần tham gia hội đồng quản trị bao gồm</w:t>
      </w:r>
      <w:r w:rsidRPr="00BD6778">
        <w:rPr>
          <w:rFonts w:ascii="Times New Roman" w:eastAsia="Times New Roman" w:hAnsi="Times New Roman" w:cs="Times New Roman"/>
          <w:i/>
          <w:sz w:val="24"/>
          <w:szCs w:val="24"/>
        </w:rPr>
        <w:t>:</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 xml:space="preserve">a) </w:t>
      </w:r>
      <w:r w:rsidRPr="00BD6778">
        <w:rPr>
          <w:rFonts w:ascii="Times New Roman" w:eastAsia="Times New Roman" w:hAnsi="Times New Roman" w:cs="Times New Roman"/>
          <w:i/>
          <w:sz w:val="24"/>
          <w:szCs w:val="24"/>
          <w:u w:val="single"/>
        </w:rPr>
        <w:t>Đại diện các tổ chức, cá nhân có số lượng cổ phần đóng góp ở mức cần thiết theo quy định</w:t>
      </w:r>
      <w:r w:rsidRPr="00BD6778">
        <w:rPr>
          <w:rFonts w:ascii="Times New Roman" w:eastAsia="Times New Roman" w:hAnsi="Times New Roman" w:cs="Times New Roman"/>
          <w:i/>
          <w:sz w:val="24"/>
          <w:szCs w:val="24"/>
        </w:rPr>
        <w:t>;</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b) Hiệu trưởng, đại diện cơ quan quản lý địa phương nơi cơ sở giáo dục nghề nghiệp có trụ sở hoặc đại diện cơ sở sản xuất, kinh doanh, dịch vụ có liên quan;</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c) Đại diện tổ chức Đảng, đoàn thể; đại diện nhà giáo.</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4. Chủ tịch hội đồng quản trị do hội đồng quản trị bầu theo nguyên tắc đa số, bỏ phiếu kín.</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Chủ tịch hội đồng quản trị là chủ tài khoản, chịu trách nhiệm trước pháp luật về toàn bộ công tác quản lý tài chính và tài sản của nhà trường. Chủ tịch hội đồng quản trị có thể ủy quyền cho hiệu trưởng trường là đại diện chủ tài khoản, thực hiện quyền hạn và nghĩa vụ như chủ tài khoản trong phạm vi được ủy quyền.</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i/>
          <w:sz w:val="24"/>
          <w:szCs w:val="24"/>
        </w:rPr>
        <w:t>5. Nhiệm kỳ của hội đồng quản trị là 05 năm. Hội đồng quản trị làm việc theo nguyên tắc tập thể, quyết định theo đa số.</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i/>
          <w:sz w:val="24"/>
          <w:szCs w:val="24"/>
        </w:rPr>
        <w:t>6. Thủ tục thành lập, số lượng, cơ cấu thành viên, nhiệm vụ, quyền hạn của hội đồng quản trị; tiêu chuẩn, nhiệm vụ, quyền hạn của chủ tịch, thư ký hội đồng quản trị được quy định trong Điều lệ trường trung cấp, Điều lệ trường cao đẳng và quy chế tổ chức, hoạt động của cơ sở giáo dục nghề nghiệp”.</w:t>
      </w:r>
    </w:p>
    <w:p w:rsidR="0085104D" w:rsidRPr="00BD6778" w:rsidRDefault="0085104D" w:rsidP="00D85AEA">
      <w:pPr>
        <w:shd w:val="clear" w:color="auto" w:fill="FFFFFF"/>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Theo quy định trên, trường trung cấp/cao đẳng tư thục có hội đồng quản trị và hội đồng quản trị có nhiệm vụ, quyền hạn: tổ chức, giám sát việc thực hiện nghị quyết của đại hội đồng cổ đông.</w:t>
      </w:r>
      <w:r w:rsidR="00B539B6" w:rsidRPr="00BD6778">
        <w:rPr>
          <w:rFonts w:ascii="Times New Roman" w:eastAsia="Times New Roman" w:hAnsi="Times New Roman" w:cs="Times New Roman"/>
          <w:sz w:val="24"/>
          <w:szCs w:val="24"/>
        </w:rPr>
        <w:t xml:space="preserve"> Tuy nhiên, trong cơ cấu tổ chức của trường trung cấp/cao đẳng tư thục tại Điều 10 lại không có đại hội đồng cổ đông. Luật cũng không có quy định gì thêm về đại hội đồng cổ đông cũng như không giao cho cơ quan nào quy định về đại hội đồng cổ đông trong trường trung cấp/cao đẳng tư thục. </w:t>
      </w:r>
      <w:r w:rsidR="006752B1" w:rsidRPr="00BD6778">
        <w:rPr>
          <w:rFonts w:ascii="Times New Roman" w:eastAsia="Times New Roman" w:hAnsi="Times New Roman" w:cs="Times New Roman"/>
          <w:sz w:val="24"/>
          <w:szCs w:val="24"/>
        </w:rPr>
        <w:t>Từ đó dẫn tới việc không thể xác định được địa vị pháp lý, cách thức tổ chức của đại hội đồng cổ đông trong trường trung cấp/cao đẳng tư thục.</w:t>
      </w:r>
    </w:p>
    <w:p w:rsidR="00FB7E4A" w:rsidRPr="00BD6778" w:rsidRDefault="00FB7E4A" w:rsidP="00D85AEA">
      <w:pPr>
        <w:spacing w:before="120" w:after="120" w:line="240" w:lineRule="auto"/>
        <w:ind w:firstLine="567"/>
        <w:jc w:val="both"/>
        <w:rPr>
          <w:rFonts w:ascii="Times New Roman" w:eastAsia="Times New Roman" w:hAnsi="Times New Roman" w:cs="Times New Roman"/>
          <w:sz w:val="24"/>
          <w:szCs w:val="24"/>
        </w:rPr>
      </w:pPr>
      <w:r w:rsidRPr="00BD6778">
        <w:rPr>
          <w:rFonts w:ascii="Times New Roman" w:eastAsia="Times New Roman" w:hAnsi="Times New Roman" w:cs="Times New Roman"/>
          <w:sz w:val="24"/>
          <w:szCs w:val="24"/>
        </w:rPr>
        <w:t>Bên cạnh đó, điểm a khoản 3 Điều 12 Luật giáo dục nghề nghiệp quy định: Thành phần tham gia hội đồng quản trị gồm: “</w:t>
      </w:r>
      <w:r w:rsidRPr="00BD6778">
        <w:rPr>
          <w:rFonts w:ascii="Times New Roman" w:eastAsia="Times New Roman" w:hAnsi="Times New Roman" w:cs="Times New Roman"/>
          <w:i/>
          <w:sz w:val="24"/>
          <w:szCs w:val="24"/>
        </w:rPr>
        <w:t xml:space="preserve">Đại diện các tổ chức, cá nhân có số lượng cổ phần </w:t>
      </w:r>
      <w:r w:rsidRPr="00BD6778">
        <w:rPr>
          <w:rFonts w:ascii="Times New Roman" w:eastAsia="Times New Roman" w:hAnsi="Times New Roman" w:cs="Times New Roman"/>
          <w:i/>
          <w:sz w:val="24"/>
          <w:szCs w:val="24"/>
          <w:u w:val="single"/>
        </w:rPr>
        <w:t>đóng góp ở mức cần thiết theo quy định</w:t>
      </w:r>
      <w:r w:rsidRPr="00BD6778">
        <w:rPr>
          <w:rFonts w:ascii="Times New Roman" w:eastAsia="Times New Roman" w:hAnsi="Times New Roman" w:cs="Times New Roman"/>
          <w:i/>
          <w:sz w:val="24"/>
          <w:szCs w:val="24"/>
        </w:rPr>
        <w:t>”</w:t>
      </w:r>
      <w:r w:rsidRPr="00BD6778">
        <w:rPr>
          <w:rFonts w:ascii="Times New Roman" w:eastAsia="Times New Roman" w:hAnsi="Times New Roman" w:cs="Times New Roman"/>
          <w:sz w:val="24"/>
          <w:szCs w:val="24"/>
        </w:rPr>
        <w:t>. Việc xác định số lượng cổ phần mà mỗi cổ đông đóng góp ở mức cần thiết theo quy định là như thế nào cũng không được Luật quy định rõ. Ngoài Luật giáo dục nghề nghiệp, hiện nay chỉ có Luật doanh nghiệp quy định về hội đồng quản trị, cổ đông trong công ty cổ phần; trong khi đó, các trường trung cấp/cao đẳng tư thục là cơ sở giáo dục nghề nghiệp, không phải là doanh nghiệp nên không thể áp dụng quy định của Luật doanh nghiệp. Trong khi Luật giáo dục nghề nghiệp không có quy định xác định  “số lượng cổ phần đóng góp ở mức cần thiết theo quy định” là như thế nào thì các trường rất khó để thực hiện.</w:t>
      </w:r>
    </w:p>
    <w:p w:rsidR="006B48F5" w:rsidRPr="00BD6778" w:rsidRDefault="006B48F5" w:rsidP="00D85AEA">
      <w:pPr>
        <w:spacing w:before="120" w:after="120" w:line="240" w:lineRule="auto"/>
        <w:ind w:firstLine="567"/>
        <w:jc w:val="both"/>
        <w:rPr>
          <w:rFonts w:ascii="Times New Roman" w:eastAsia="Times New Roman" w:hAnsi="Times New Roman" w:cs="Times New Roman"/>
          <w:b/>
          <w:sz w:val="24"/>
          <w:szCs w:val="24"/>
        </w:rPr>
      </w:pPr>
      <w:r w:rsidRPr="00BD6778">
        <w:rPr>
          <w:rFonts w:ascii="Times New Roman" w:eastAsia="Times New Roman" w:hAnsi="Times New Roman" w:cs="Times New Roman"/>
          <w:b/>
          <w:sz w:val="24"/>
          <w:szCs w:val="24"/>
        </w:rPr>
        <w:t xml:space="preserve">2. Bất cập trong quy định về điều kiện hoạt động giáo dục nghề nghiệp, điều kiện kiểm định </w:t>
      </w:r>
      <w:r w:rsidR="001D68B0" w:rsidRPr="00BD6778">
        <w:rPr>
          <w:rFonts w:ascii="Times New Roman" w:eastAsia="Times New Roman" w:hAnsi="Times New Roman" w:cs="Times New Roman"/>
          <w:b/>
          <w:sz w:val="24"/>
          <w:szCs w:val="24"/>
        </w:rPr>
        <w:t>chất lượng giáo dục nghề nghiệp</w:t>
      </w:r>
    </w:p>
    <w:p w:rsidR="006B48F5" w:rsidRPr="00BD6778" w:rsidRDefault="006B48F5" w:rsidP="00D85AEA">
      <w:pPr>
        <w:spacing w:before="120" w:after="120" w:line="240" w:lineRule="auto"/>
        <w:ind w:firstLine="567"/>
        <w:jc w:val="both"/>
        <w:rPr>
          <w:rFonts w:ascii="Times New Roman" w:eastAsia="Times New Roman" w:hAnsi="Times New Roman" w:cs="Times New Roman"/>
          <w:i/>
          <w:sz w:val="24"/>
          <w:szCs w:val="24"/>
        </w:rPr>
      </w:pPr>
      <w:r w:rsidRPr="00BD6778">
        <w:rPr>
          <w:rFonts w:ascii="Times New Roman" w:eastAsia="Times New Roman" w:hAnsi="Times New Roman" w:cs="Times New Roman"/>
          <w:sz w:val="24"/>
          <w:szCs w:val="24"/>
        </w:rPr>
        <w:t>Điều 19 Luật giáo dục nghề nghiệp quy định: “</w:t>
      </w:r>
      <w:r w:rsidRPr="00BD6778">
        <w:rPr>
          <w:rFonts w:ascii="Times New Roman" w:eastAsia="Times New Roman" w:hAnsi="Times New Roman" w:cs="Times New Roman"/>
          <w:i/>
          <w:sz w:val="24"/>
          <w:szCs w:val="24"/>
        </w:rPr>
        <w:t xml:space="preserve">Thủ trưởng cơ quan quản lý nhà nước về giáo dục nghề nghiệp ở trung ương quy định cụ thể điều kiện, thẩm quyền, thủ tục cấp, thu hồi giấy chứng nhận đăng ký hoạt động giáo dục nghề nghiệp hoặc giấy chứng nhận đăng ký bổ sung hoạt động giáo dục nghề nghiệp”; </w:t>
      </w:r>
    </w:p>
    <w:p w:rsidR="006B48F5" w:rsidRPr="00BD6778" w:rsidRDefault="006B48F5" w:rsidP="00D85AEA">
      <w:pPr>
        <w:spacing w:before="120" w:after="120" w:line="240" w:lineRule="auto"/>
        <w:ind w:firstLine="567"/>
        <w:jc w:val="both"/>
        <w:rPr>
          <w:rFonts w:ascii="Times New Roman" w:hAnsi="Times New Roman" w:cs="Times New Roman"/>
          <w:sz w:val="24"/>
          <w:szCs w:val="24"/>
          <w:shd w:val="clear" w:color="auto" w:fill="FFFFFF"/>
        </w:rPr>
      </w:pPr>
      <w:r w:rsidRPr="00BD6778">
        <w:rPr>
          <w:rFonts w:ascii="Times New Roman" w:eastAsia="Times New Roman" w:hAnsi="Times New Roman" w:cs="Times New Roman"/>
          <w:sz w:val="24"/>
          <w:szCs w:val="24"/>
        </w:rPr>
        <w:t xml:space="preserve">Điều 66 quy định: </w:t>
      </w:r>
      <w:r w:rsidRPr="00BD6778">
        <w:rPr>
          <w:rFonts w:ascii="Times New Roman" w:eastAsia="Times New Roman" w:hAnsi="Times New Roman" w:cs="Times New Roman"/>
          <w:i/>
          <w:sz w:val="24"/>
          <w:szCs w:val="24"/>
        </w:rPr>
        <w:t>“</w:t>
      </w:r>
      <w:r w:rsidRPr="00BD6778">
        <w:rPr>
          <w:rFonts w:ascii="Times New Roman" w:hAnsi="Times New Roman" w:cs="Times New Roman"/>
          <w:i/>
          <w:sz w:val="24"/>
          <w:szCs w:val="24"/>
          <w:shd w:val="clear" w:color="auto" w:fill="FFFFFF"/>
        </w:rPr>
        <w:t xml:space="preserve">Thủ trưởng cơ quan quản lý nhà nước về giáo dục nghề nghiệp ở trung ương quy định cụ thể về tiêu chí, tiêu chuẩn, quy trình và chu kỳ kiểm định chất lượng giáo dục nghề nghiệp; điều kiện và thẩm quyền thành lập, cho phép thành lập, giải thể tổ </w:t>
      </w:r>
      <w:r w:rsidRPr="00BD6778">
        <w:rPr>
          <w:rFonts w:ascii="Times New Roman" w:hAnsi="Times New Roman" w:cs="Times New Roman"/>
          <w:i/>
          <w:sz w:val="24"/>
          <w:szCs w:val="24"/>
          <w:shd w:val="clear" w:color="auto" w:fill="FFFFFF"/>
        </w:rPr>
        <w:lastRenderedPageBreak/>
        <w:t>chức kiểm định chất lượng giáo dục nghề nghiệp; nhiệm vụ, quyền hạn của tổ chức kiểm định chất lượng giáo dục nghề nghiệp; công nhận kết quả kiểm định của tổ chức kiểm định chất lượng giáo dục nghề nghiệp; cấp và thu hồi giấy chứng nhận đạt chuẩn kiểm định chất lượng giáo dục nghề nghiệp; tiêu chuẩn, nhiệm vụ, quyền hạn của kiểm định viên; quản lý và cấp thẻ kiểm định viên chất lượng giáo dục nghề nghiệp”</w:t>
      </w:r>
      <w:r w:rsidRPr="00BD6778">
        <w:rPr>
          <w:rFonts w:ascii="Times New Roman" w:hAnsi="Times New Roman" w:cs="Times New Roman"/>
          <w:sz w:val="24"/>
          <w:szCs w:val="24"/>
          <w:shd w:val="clear" w:color="auto" w:fill="FFFFFF"/>
        </w:rPr>
        <w:t xml:space="preserve">. </w:t>
      </w:r>
    </w:p>
    <w:p w:rsidR="006B48F5" w:rsidRPr="00BD6778" w:rsidRDefault="006B48F5" w:rsidP="00D85AEA">
      <w:pPr>
        <w:spacing w:before="120" w:after="120" w:line="240" w:lineRule="auto"/>
        <w:ind w:firstLine="567"/>
        <w:jc w:val="both"/>
        <w:rPr>
          <w:rFonts w:ascii="Times New Roman" w:hAnsi="Times New Roman" w:cs="Times New Roman"/>
          <w:sz w:val="24"/>
          <w:szCs w:val="24"/>
          <w:shd w:val="clear" w:color="auto" w:fill="FFFFFF"/>
        </w:rPr>
      </w:pPr>
      <w:r w:rsidRPr="00BD6778">
        <w:rPr>
          <w:rFonts w:ascii="Times New Roman" w:hAnsi="Times New Roman" w:cs="Times New Roman"/>
          <w:sz w:val="24"/>
          <w:szCs w:val="24"/>
          <w:shd w:val="clear" w:color="auto" w:fill="FFFFFF"/>
        </w:rPr>
        <w:t>Như vậy, trên cơ sở nhiệm vụ được Luật giao, Thủ trưởng cơ quan quản lý nhà nước về giáo dục nghề nghiệp ở trung ương sẽ ban hành Thông tư quy định về điều kiện hoạt động giáo dục nghề nghiệp, điều kiện hoạt động kiểm định chất lượng giáo dục nghề nghiệp.</w:t>
      </w:r>
    </w:p>
    <w:p w:rsidR="006B48F5" w:rsidRPr="00BD6778" w:rsidRDefault="006B48F5" w:rsidP="00D85AEA">
      <w:pPr>
        <w:spacing w:before="120" w:after="120" w:line="240" w:lineRule="auto"/>
        <w:ind w:firstLine="567"/>
        <w:jc w:val="both"/>
        <w:rPr>
          <w:rFonts w:ascii="Times New Roman" w:eastAsia="Times New Roman" w:hAnsi="Times New Roman" w:cs="Times New Roman"/>
          <w:sz w:val="24"/>
          <w:szCs w:val="24"/>
        </w:rPr>
      </w:pPr>
      <w:r w:rsidRPr="00BD6778">
        <w:rPr>
          <w:rFonts w:ascii="Times New Roman" w:hAnsi="Times New Roman" w:cs="Times New Roman"/>
          <w:sz w:val="24"/>
          <w:szCs w:val="24"/>
          <w:shd w:val="clear" w:color="auto" w:fill="FFFFFF"/>
        </w:rPr>
        <w:t>Trong khi đó, theo quy định của Luật đầu tư thì 02 hoạt động trên thuộc danh mục ngành, nghề đầu tư kinh doanh có điều kiện. Việc  thực hiện hoạt động đầu tư kinh doanh trong các ngành, nghề đó phải đáp ứng điều kiện quy định tại các luật, pháp lệnh, nghị định và điều ước quốc tế mà Cộng hòa xã hội chủ nghĩa Việt Nam là thành viên</w:t>
      </w:r>
      <w:r w:rsidR="00074B09" w:rsidRPr="00BD6778">
        <w:rPr>
          <w:rFonts w:ascii="Times New Roman" w:hAnsi="Times New Roman" w:cs="Times New Roman"/>
          <w:sz w:val="24"/>
          <w:szCs w:val="24"/>
          <w:shd w:val="clear" w:color="auto" w:fill="FFFFFF"/>
        </w:rPr>
        <w:t>.</w:t>
      </w:r>
      <w:r w:rsidRPr="00BD6778">
        <w:rPr>
          <w:rFonts w:ascii="Times New Roman" w:hAnsi="Times New Roman" w:cs="Times New Roman"/>
          <w:sz w:val="24"/>
          <w:szCs w:val="24"/>
          <w:shd w:val="clear" w:color="auto" w:fill="FFFFFF"/>
        </w:rPr>
        <w:t xml:space="preserve"> Bộ, cơ quan ngang bộ, Hội đồng nhân dân, Ủy ban nhân dân các cấp, cơ quan, tổ chức, cá nhân khác không được ban hành quy định về điều kiện đầu tư kinh doanh</w:t>
      </w:r>
      <w:r w:rsidR="00074B09" w:rsidRPr="00BD6778">
        <w:rPr>
          <w:rFonts w:ascii="Times New Roman" w:hAnsi="Times New Roman" w:cs="Times New Roman"/>
          <w:sz w:val="24"/>
          <w:szCs w:val="24"/>
          <w:shd w:val="clear" w:color="auto" w:fill="FFFFFF"/>
        </w:rPr>
        <w:t xml:space="preserve"> (Điều 7)</w:t>
      </w:r>
      <w:r w:rsidRPr="00BD6778">
        <w:rPr>
          <w:rFonts w:ascii="Times New Roman" w:hAnsi="Times New Roman" w:cs="Times New Roman"/>
          <w:sz w:val="24"/>
          <w:szCs w:val="24"/>
          <w:shd w:val="clear" w:color="auto" w:fill="FFFFFF"/>
        </w:rPr>
        <w:t>.</w:t>
      </w:r>
      <w:r w:rsidR="00074B09" w:rsidRPr="00BD6778">
        <w:rPr>
          <w:rFonts w:ascii="Times New Roman" w:hAnsi="Times New Roman" w:cs="Times New Roman"/>
          <w:sz w:val="24"/>
          <w:szCs w:val="24"/>
          <w:shd w:val="clear" w:color="auto" w:fill="FFFFFF"/>
        </w:rPr>
        <w:t xml:space="preserve"> Như vậy, các Bộ không được ban hành Thông tư quy định về điều kiện đầu tư kinh doanh. Trường hợp này sẽ dẫn đến quy định khác nhau về thẩm quyền của các Bộ giữa Luật đầu tư và Luật giáo dục nghề nghiệp.</w:t>
      </w:r>
    </w:p>
    <w:p w:rsidR="006B48F5" w:rsidRPr="00BD6778" w:rsidRDefault="00074B09" w:rsidP="00D85AEA">
      <w:pPr>
        <w:spacing w:before="120" w:after="120" w:line="240" w:lineRule="auto"/>
        <w:ind w:firstLine="567"/>
        <w:jc w:val="both"/>
        <w:rPr>
          <w:rFonts w:ascii="Times New Roman" w:hAnsi="Times New Roman" w:cs="Times New Roman"/>
          <w:sz w:val="24"/>
          <w:szCs w:val="24"/>
          <w:shd w:val="clear" w:color="auto" w:fill="FFFFFF"/>
        </w:rPr>
      </w:pPr>
      <w:r w:rsidRPr="00BD6778">
        <w:rPr>
          <w:rFonts w:ascii="Times New Roman" w:hAnsi="Times New Roman" w:cs="Times New Roman"/>
          <w:sz w:val="24"/>
          <w:szCs w:val="24"/>
          <w:shd w:val="clear" w:color="auto" w:fill="FFFFFF"/>
        </w:rPr>
        <w:t>Cũng theo Luật đầu tư:</w:t>
      </w:r>
      <w:r w:rsidRPr="00BD6778">
        <w:rPr>
          <w:rFonts w:ascii="Times New Roman" w:hAnsi="Times New Roman" w:cs="Times New Roman"/>
          <w:i/>
          <w:sz w:val="24"/>
          <w:szCs w:val="24"/>
          <w:shd w:val="clear" w:color="auto" w:fill="FFFFFF"/>
        </w:rPr>
        <w:t xml:space="preserve"> “Trường hợp có quy định khác nhau giữa Luật này và luật khác về ngành, nghề cấm đầu tư kinh doanh, ngành, nghề đầu tư kinh doanh có điều kiện, trình tự, thủ tục đầu tư thì thực hiện theo quy định của Luật này, trừ trình tự, thủ tục đầu tư kinh doanh theo quy định tại Luật chứng khoán, Luật các tổ chức tín dụng, Luật kinh doanh bảo hiểm và Luật dầu khí”</w:t>
      </w:r>
      <w:r w:rsidRPr="00BD6778">
        <w:rPr>
          <w:rFonts w:ascii="Times New Roman" w:hAnsi="Times New Roman" w:cs="Times New Roman"/>
          <w:sz w:val="24"/>
          <w:szCs w:val="24"/>
          <w:shd w:val="clear" w:color="auto" w:fill="FFFFFF"/>
        </w:rPr>
        <w:t xml:space="preserve"> (Điều 4). Theo đó, việc quy định điều kiện hoạt động giáo dục nghề nghiệp, hoạt động kiểm định chất lượng giáo dục nghề nghiệp (là 02 hoạt động thuộc danh mục ngành, nghề đầu tư, kinh doanh có điều kiện ban hành kèm theo Luật đầu tư) phải thực hiện theo quy định của Luật đầu tư và phải được quy định trong văn bản từ cấp Chính phủ trở lên.</w:t>
      </w:r>
      <w:r w:rsidR="001D68B0" w:rsidRPr="00BD6778">
        <w:rPr>
          <w:rFonts w:ascii="Times New Roman" w:hAnsi="Times New Roman" w:cs="Times New Roman"/>
          <w:sz w:val="24"/>
          <w:szCs w:val="24"/>
          <w:shd w:val="clear" w:color="auto" w:fill="FFFFFF"/>
        </w:rPr>
        <w:t xml:space="preserve"> Điều này dẫn đến hệ quả, cơ quan quản lý nhà nước về giáo dục nghề nghiệp ở trung ương ban hành Thông tư quy định điều kiện hoạt động giáo dục nghề nghiệp và điều kiện hoạt động kiểm định chất lượng giáo dục nghề nghiệp như quy định của Luật giao thì lại trái về thẩm quyền so với Luật đầu tư. Như vậy là có sự va chạm giữa quy định của Luật giáo dục nghề nghiệp với Luật đầu tư, gây khó khăn cho cơ quan ban hành và kiểm tra văn bản.</w:t>
      </w:r>
    </w:p>
    <w:p w:rsidR="00292340" w:rsidRPr="00BD6778" w:rsidRDefault="00FC3AD7" w:rsidP="00D85AEA">
      <w:pPr>
        <w:spacing w:before="120" w:after="120" w:line="240" w:lineRule="auto"/>
        <w:ind w:firstLine="567"/>
        <w:jc w:val="both"/>
        <w:rPr>
          <w:rFonts w:ascii="Times New Roman" w:hAnsi="Times New Roman" w:cs="Times New Roman"/>
          <w:b/>
          <w:sz w:val="24"/>
          <w:szCs w:val="24"/>
          <w:shd w:val="clear" w:color="auto" w:fill="FFFFFF"/>
        </w:rPr>
      </w:pPr>
      <w:r w:rsidRPr="00BD6778">
        <w:rPr>
          <w:rFonts w:ascii="Times New Roman" w:hAnsi="Times New Roman" w:cs="Times New Roman"/>
          <w:b/>
          <w:sz w:val="24"/>
          <w:szCs w:val="24"/>
          <w:shd w:val="clear" w:color="auto" w:fill="FFFFFF"/>
        </w:rPr>
        <w:t>3. Bất cập trong quy định</w:t>
      </w:r>
      <w:r w:rsidR="00292340" w:rsidRPr="00BD6778">
        <w:rPr>
          <w:rFonts w:ascii="Times New Roman" w:hAnsi="Times New Roman" w:cs="Times New Roman"/>
          <w:b/>
          <w:sz w:val="24"/>
          <w:szCs w:val="24"/>
          <w:shd w:val="clear" w:color="auto" w:fill="FFFFFF"/>
        </w:rPr>
        <w:t>cơ quan có thẩm quyền quản lý nhà nước về giáo dục nghề nghiệp</w:t>
      </w:r>
    </w:p>
    <w:p w:rsidR="00584BC5" w:rsidRPr="00BD6778" w:rsidRDefault="00292340" w:rsidP="00D85AEA">
      <w:pPr>
        <w:spacing w:before="120" w:after="120" w:line="240" w:lineRule="auto"/>
        <w:ind w:firstLine="567"/>
        <w:jc w:val="both"/>
        <w:rPr>
          <w:rFonts w:ascii="Times New Roman" w:hAnsi="Times New Roman" w:cs="Times New Roman"/>
          <w:sz w:val="24"/>
          <w:szCs w:val="24"/>
          <w:shd w:val="clear" w:color="auto" w:fill="FFFFFF"/>
        </w:rPr>
      </w:pPr>
      <w:r w:rsidRPr="00BD6778">
        <w:rPr>
          <w:rFonts w:ascii="Times New Roman" w:hAnsi="Times New Roman" w:cs="Times New Roman"/>
          <w:sz w:val="24"/>
          <w:szCs w:val="24"/>
          <w:shd w:val="clear" w:color="auto" w:fill="FFFFFF"/>
        </w:rPr>
        <w:t xml:space="preserve">Luật giáo dục nghề nghiệp </w:t>
      </w:r>
      <w:r w:rsidR="00F1042B" w:rsidRPr="00BD6778">
        <w:rPr>
          <w:rFonts w:ascii="Times New Roman" w:eastAsia="Times New Roman" w:hAnsi="Times New Roman" w:cs="Times New Roman"/>
          <w:sz w:val="24"/>
          <w:szCs w:val="24"/>
        </w:rPr>
        <w:t>có đến 33 Điều, khoản, điểm</w:t>
      </w:r>
      <w:r w:rsidRPr="00BD6778">
        <w:rPr>
          <w:rFonts w:ascii="Times New Roman" w:eastAsia="Times New Roman" w:hAnsi="Times New Roman" w:cs="Times New Roman"/>
          <w:sz w:val="24"/>
          <w:szCs w:val="24"/>
        </w:rPr>
        <w:t xml:space="preserve"> giao thẩm quyền chung cho “</w:t>
      </w:r>
      <w:r w:rsidRPr="00BD6778">
        <w:rPr>
          <w:rFonts w:ascii="Times New Roman" w:eastAsia="Times New Roman" w:hAnsi="Times New Roman" w:cs="Times New Roman"/>
          <w:i/>
          <w:sz w:val="24"/>
          <w:szCs w:val="24"/>
        </w:rPr>
        <w:t>cơ quan quản lý nhà nước về giáo dục nghề nghiệp ở trung ương</w:t>
      </w:r>
      <w:r w:rsidRPr="00BD6778">
        <w:rPr>
          <w:rFonts w:ascii="Times New Roman" w:eastAsia="Times New Roman" w:hAnsi="Times New Roman" w:cs="Times New Roman"/>
          <w:sz w:val="24"/>
          <w:szCs w:val="24"/>
        </w:rPr>
        <w:t>”</w:t>
      </w:r>
      <w:r w:rsidR="00F1042B" w:rsidRPr="00BD6778">
        <w:rPr>
          <w:rFonts w:ascii="Times New Roman" w:eastAsia="Times New Roman" w:hAnsi="Times New Roman" w:cs="Times New Roman"/>
          <w:sz w:val="24"/>
          <w:szCs w:val="24"/>
        </w:rPr>
        <w:t xml:space="preserve">. </w:t>
      </w:r>
      <w:r w:rsidR="00584BC5" w:rsidRPr="00BD6778">
        <w:rPr>
          <w:rFonts w:ascii="Times New Roman" w:eastAsia="Times New Roman" w:hAnsi="Times New Roman" w:cs="Times New Roman"/>
          <w:sz w:val="24"/>
          <w:szCs w:val="24"/>
        </w:rPr>
        <w:t xml:space="preserve">Mặc </w:t>
      </w:r>
      <w:r w:rsidR="00584BC5" w:rsidRPr="00BD6778">
        <w:rPr>
          <w:rFonts w:ascii="Times New Roman" w:hAnsi="Times New Roman" w:cs="Times New Roman"/>
          <w:sz w:val="24"/>
          <w:szCs w:val="24"/>
          <w:shd w:val="clear" w:color="auto" w:fill="FFFFFF"/>
        </w:rPr>
        <w:t xml:space="preserve">dù Luật Giáo dục nghề nghiệp chính thức có hiệu lực từ ngày 1-7-2015, với thay đổi căn bản chuyển toàn bộ hệ thống CĐ, CĐ nghề, trung cấp chuyên nghiệp, trung cấp nghề - vốn trước đây thuộc sự quản lý của hai </w:t>
      </w:r>
      <w:r w:rsidR="000A23B2" w:rsidRPr="00BD6778">
        <w:rPr>
          <w:rFonts w:ascii="Times New Roman" w:hAnsi="Times New Roman" w:cs="Times New Roman"/>
          <w:sz w:val="24"/>
          <w:szCs w:val="24"/>
          <w:shd w:val="clear" w:color="auto" w:fill="FFFFFF"/>
        </w:rPr>
        <w:t>B</w:t>
      </w:r>
      <w:r w:rsidR="00584BC5" w:rsidRPr="00BD6778">
        <w:rPr>
          <w:rFonts w:ascii="Times New Roman" w:hAnsi="Times New Roman" w:cs="Times New Roman"/>
          <w:sz w:val="24"/>
          <w:szCs w:val="24"/>
          <w:shd w:val="clear" w:color="auto" w:fill="FFFFFF"/>
        </w:rPr>
        <w:t>ộ GD</w:t>
      </w:r>
      <w:r w:rsidR="000A23B2" w:rsidRPr="00BD6778">
        <w:rPr>
          <w:rFonts w:ascii="Times New Roman" w:hAnsi="Times New Roman" w:cs="Times New Roman"/>
          <w:sz w:val="24"/>
          <w:szCs w:val="24"/>
          <w:shd w:val="clear" w:color="auto" w:fill="FFFFFF"/>
        </w:rPr>
        <w:t>&amp;</w:t>
      </w:r>
      <w:r w:rsidR="00584BC5" w:rsidRPr="00BD6778">
        <w:rPr>
          <w:rFonts w:ascii="Times New Roman" w:hAnsi="Times New Roman" w:cs="Times New Roman"/>
          <w:sz w:val="24"/>
          <w:szCs w:val="24"/>
          <w:shd w:val="clear" w:color="auto" w:fill="FFFFFF"/>
        </w:rPr>
        <w:t>ĐT và LĐ</w:t>
      </w:r>
      <w:r w:rsidR="000A23B2" w:rsidRPr="00BD6778">
        <w:rPr>
          <w:rFonts w:ascii="Times New Roman" w:hAnsi="Times New Roman" w:cs="Times New Roman"/>
          <w:sz w:val="24"/>
          <w:szCs w:val="24"/>
          <w:shd w:val="clear" w:color="auto" w:fill="FFFFFF"/>
        </w:rPr>
        <w:t>,</w:t>
      </w:r>
      <w:r w:rsidR="00584BC5" w:rsidRPr="00BD6778">
        <w:rPr>
          <w:rFonts w:ascii="Times New Roman" w:hAnsi="Times New Roman" w:cs="Times New Roman"/>
          <w:sz w:val="24"/>
          <w:szCs w:val="24"/>
          <w:shd w:val="clear" w:color="auto" w:fill="FFFFFF"/>
        </w:rPr>
        <w:t xml:space="preserve">TB&amp;XH- nhập chung vào hệ thống giáo dục nghề nghiệp thống nhất, nhưng tại thời điểm đó chưa có bộ nào chính thức được phân công nhiệm vụ quản lý nhà nước với hệ thống này. Thậm chí, ngay trong Nghị định số 48/2015/NĐ-CP ngày 15/5/2015 của Chính phủ quy định chi tiết một số điều của Luật giáo dục nghề nghiệp thẩm quyền quản lý nhà nước về giáo dục nghề nghiệp cũng vẫn chưa được minh định. Phải đến ngày 03/9/2016, hơn một năm sau ngày Luật giáo dục nghề nghiệp và Nghị định quy định chi tiết có hiệu lực thì </w:t>
      </w:r>
      <w:r w:rsidR="001A2642" w:rsidRPr="00BD6778">
        <w:rPr>
          <w:rFonts w:ascii="Times New Roman" w:hAnsi="Times New Roman" w:cs="Times New Roman"/>
          <w:sz w:val="24"/>
          <w:szCs w:val="24"/>
          <w:shd w:val="clear" w:color="auto" w:fill="FFFFFF"/>
        </w:rPr>
        <w:t>“</w:t>
      </w:r>
      <w:r w:rsidR="001A2642" w:rsidRPr="00BD6778">
        <w:rPr>
          <w:rFonts w:ascii="Times New Roman" w:hAnsi="Times New Roman" w:cs="Times New Roman"/>
          <w:i/>
          <w:sz w:val="24"/>
          <w:szCs w:val="24"/>
          <w:shd w:val="clear" w:color="auto" w:fill="FFFFFF"/>
          <w:lang w:val="vi-VN"/>
        </w:rPr>
        <w:t>Chính phủ th</w:t>
      </w:r>
      <w:r w:rsidR="001A2642" w:rsidRPr="00BD6778">
        <w:rPr>
          <w:rFonts w:ascii="Times New Roman" w:hAnsi="Times New Roman" w:cs="Times New Roman"/>
          <w:i/>
          <w:sz w:val="24"/>
          <w:szCs w:val="24"/>
          <w:shd w:val="clear" w:color="auto" w:fill="FFFFFF"/>
        </w:rPr>
        <w:t>ố</w:t>
      </w:r>
      <w:r w:rsidR="001A2642" w:rsidRPr="00BD6778">
        <w:rPr>
          <w:rFonts w:ascii="Times New Roman" w:hAnsi="Times New Roman" w:cs="Times New Roman"/>
          <w:i/>
          <w:sz w:val="24"/>
          <w:szCs w:val="24"/>
          <w:shd w:val="clear" w:color="auto" w:fill="FFFFFF"/>
          <w:lang w:val="vi-VN"/>
        </w:rPr>
        <w:t>ng nhất giao Bộ Lao động - Thương binh và Xã hội là cơ quan quản lý nhà nước vềgiáo dục ngh</w:t>
      </w:r>
      <w:r w:rsidR="001A2642" w:rsidRPr="00BD6778">
        <w:rPr>
          <w:rFonts w:ascii="Times New Roman" w:hAnsi="Times New Roman" w:cs="Times New Roman"/>
          <w:i/>
          <w:sz w:val="24"/>
          <w:szCs w:val="24"/>
          <w:shd w:val="clear" w:color="auto" w:fill="FFFFFF"/>
        </w:rPr>
        <w:t>ề </w:t>
      </w:r>
      <w:r w:rsidR="001A2642" w:rsidRPr="00BD6778">
        <w:rPr>
          <w:rFonts w:ascii="Times New Roman" w:hAnsi="Times New Roman" w:cs="Times New Roman"/>
          <w:i/>
          <w:sz w:val="24"/>
          <w:szCs w:val="24"/>
          <w:shd w:val="clear" w:color="auto" w:fill="FFFFFF"/>
          <w:lang w:val="vi-VN"/>
        </w:rPr>
        <w:t>nghiệp</w:t>
      </w:r>
      <w:r w:rsidR="001A2642" w:rsidRPr="00BD6778">
        <w:rPr>
          <w:rFonts w:ascii="Times New Roman" w:hAnsi="Times New Roman" w:cs="Times New Roman"/>
          <w:sz w:val="24"/>
          <w:szCs w:val="24"/>
          <w:shd w:val="clear" w:color="auto" w:fill="FFFFFF"/>
        </w:rPr>
        <w:t>” tại Nghị quyết số 76/NQ-CP Phiên họp Chính phủ thường kỳ tháng 8 năm 2016</w:t>
      </w:r>
      <w:r w:rsidR="00380660" w:rsidRPr="00BD6778">
        <w:rPr>
          <w:rFonts w:ascii="Times New Roman" w:hAnsi="Times New Roman" w:cs="Times New Roman"/>
          <w:sz w:val="24"/>
          <w:szCs w:val="24"/>
          <w:shd w:val="clear" w:color="auto" w:fill="FFFFFF"/>
        </w:rPr>
        <w:t xml:space="preserve">.Kể từ đó, thẩm quyền quản lý nhà nước về giáo dục nghề nghiệp đã được xác định cụ thể. Tuy nhiên, quy định không minh định của Luật đã làm cho </w:t>
      </w:r>
      <w:r w:rsidR="00B775ED" w:rsidRPr="00BD6778">
        <w:rPr>
          <w:rFonts w:ascii="Times New Roman" w:hAnsi="Times New Roman" w:cs="Times New Roman"/>
          <w:sz w:val="24"/>
          <w:szCs w:val="24"/>
          <w:shd w:val="clear" w:color="auto" w:fill="FFFFFF"/>
        </w:rPr>
        <w:t>các cơ quanmất một khoảng thời gian tương đối dài lúng túng</w:t>
      </w:r>
      <w:r w:rsidR="00D62791" w:rsidRPr="00BD6778">
        <w:rPr>
          <w:rFonts w:ascii="Times New Roman" w:eastAsia="Times New Roman" w:hAnsi="Times New Roman" w:cs="Times New Roman"/>
          <w:sz w:val="24"/>
          <w:szCs w:val="24"/>
        </w:rPr>
        <w:t xml:space="preserve">trong việc lên phương án điều chỉnh, sắp xếp lại hệ thống các trường cao đẳng, trung cấp vẫn thuộc quyền quản lý của mình lâu nay; các trường </w:t>
      </w:r>
      <w:r w:rsidR="00B775ED" w:rsidRPr="00BD6778">
        <w:rPr>
          <w:rFonts w:ascii="Times New Roman" w:hAnsi="Times New Roman" w:cs="Times New Roman"/>
          <w:sz w:val="24"/>
          <w:szCs w:val="24"/>
          <w:shd w:val="clear" w:color="auto" w:fill="FFFFFF"/>
        </w:rPr>
        <w:t>không biết triển khai thế nào từ công tác quản lý, báo cáo đến vấn đề tuyển sinh...</w:t>
      </w:r>
    </w:p>
    <w:p w:rsidR="00B775ED" w:rsidRPr="00BD6778" w:rsidRDefault="003F2F63" w:rsidP="00D85AEA">
      <w:pPr>
        <w:spacing w:before="120" w:after="120" w:line="240" w:lineRule="auto"/>
        <w:ind w:firstLine="567"/>
        <w:jc w:val="both"/>
        <w:rPr>
          <w:rFonts w:ascii="Times New Roman" w:hAnsi="Times New Roman" w:cs="Times New Roman"/>
          <w:b/>
          <w:sz w:val="24"/>
          <w:szCs w:val="24"/>
          <w:shd w:val="clear" w:color="auto" w:fill="FFFFFF"/>
        </w:rPr>
      </w:pPr>
      <w:r w:rsidRPr="00BD6778">
        <w:rPr>
          <w:rFonts w:ascii="Times New Roman" w:hAnsi="Times New Roman" w:cs="Times New Roman"/>
          <w:b/>
          <w:sz w:val="24"/>
          <w:szCs w:val="24"/>
          <w:shd w:val="clear" w:color="auto" w:fill="FFFFFF"/>
        </w:rPr>
        <w:t>4. Một số vấn đề còn có ý kiến khác nhau</w:t>
      </w:r>
    </w:p>
    <w:p w:rsidR="003F2F63" w:rsidRPr="00BD6778" w:rsidRDefault="00EA4E63" w:rsidP="00D85AEA">
      <w:pPr>
        <w:spacing w:before="120" w:after="120" w:line="240" w:lineRule="auto"/>
        <w:ind w:firstLine="567"/>
        <w:jc w:val="both"/>
        <w:rPr>
          <w:rFonts w:ascii="Times New Roman" w:hAnsi="Times New Roman" w:cs="Times New Roman"/>
          <w:sz w:val="24"/>
          <w:szCs w:val="24"/>
          <w:shd w:val="clear" w:color="auto" w:fill="FFFFFF"/>
        </w:rPr>
      </w:pPr>
      <w:r w:rsidRPr="00BD6778">
        <w:rPr>
          <w:rFonts w:ascii="Times New Roman" w:hAnsi="Times New Roman" w:cs="Times New Roman"/>
          <w:sz w:val="24"/>
          <w:szCs w:val="24"/>
          <w:shd w:val="clear" w:color="auto" w:fill="FFFFFF"/>
        </w:rPr>
        <w:t>Bên cạnh những bất cập nêu trên, một số nội dung khác của Luật giáo dục nghề nghiệp cũng còn có ý kiến khác nhau, băn khoăn về tính khả thi, điều kiện bảo đảm thực hiện...</w:t>
      </w:r>
    </w:p>
    <w:p w:rsidR="00BC33B2" w:rsidRPr="00BD6778" w:rsidRDefault="00EA4E63" w:rsidP="00D85AEA">
      <w:pPr>
        <w:spacing w:before="120" w:after="120" w:line="240" w:lineRule="auto"/>
        <w:ind w:firstLine="567"/>
        <w:jc w:val="both"/>
        <w:rPr>
          <w:rFonts w:ascii="Times New Roman" w:hAnsi="Times New Roman" w:cs="Times New Roman"/>
          <w:b/>
          <w:sz w:val="24"/>
          <w:szCs w:val="24"/>
          <w:shd w:val="clear" w:color="auto" w:fill="FFFFFF"/>
        </w:rPr>
      </w:pPr>
      <w:r w:rsidRPr="00BD6778">
        <w:rPr>
          <w:rFonts w:ascii="Times New Roman" w:hAnsi="Times New Roman" w:cs="Times New Roman"/>
          <w:b/>
          <w:sz w:val="24"/>
          <w:szCs w:val="24"/>
          <w:shd w:val="clear" w:color="auto" w:fill="FFFFFF"/>
        </w:rPr>
        <w:lastRenderedPageBreak/>
        <w:t xml:space="preserve">a) </w:t>
      </w:r>
      <w:r w:rsidR="00BC33B2" w:rsidRPr="00BD6778">
        <w:rPr>
          <w:rFonts w:ascii="Times New Roman" w:hAnsi="Times New Roman" w:cs="Times New Roman"/>
          <w:b/>
          <w:sz w:val="24"/>
          <w:szCs w:val="24"/>
          <w:shd w:val="clear" w:color="auto" w:fill="FFFFFF"/>
        </w:rPr>
        <w:t>Về trách nhiệm của doanh nghiệp trong hoạt động giáo dục nghề nghiệp</w:t>
      </w:r>
    </w:p>
    <w:p w:rsidR="00EA4E63" w:rsidRPr="00BD6778" w:rsidRDefault="00EA4E63" w:rsidP="00D85AEA">
      <w:pPr>
        <w:spacing w:before="120" w:after="120" w:line="240" w:lineRule="auto"/>
        <w:ind w:firstLine="567"/>
        <w:jc w:val="both"/>
        <w:rPr>
          <w:rFonts w:ascii="Times New Roman" w:hAnsi="Times New Roman" w:cs="Times New Roman"/>
          <w:sz w:val="24"/>
          <w:szCs w:val="24"/>
          <w:shd w:val="clear" w:color="auto" w:fill="FFFFFF"/>
        </w:rPr>
      </w:pPr>
      <w:r w:rsidRPr="00BD6778">
        <w:rPr>
          <w:rFonts w:ascii="Times New Roman" w:hAnsi="Times New Roman" w:cs="Times New Roman"/>
          <w:sz w:val="24"/>
          <w:szCs w:val="24"/>
          <w:shd w:val="clear" w:color="auto" w:fill="FFFFFF"/>
        </w:rPr>
        <w:t>Khoản 8 Điều 52 Luật giáo dục nghề nghiệp quy định</w:t>
      </w:r>
      <w:r w:rsidR="00BC33B2" w:rsidRPr="00BD6778">
        <w:rPr>
          <w:rFonts w:ascii="Times New Roman" w:hAnsi="Times New Roman" w:cs="Times New Roman"/>
          <w:sz w:val="24"/>
          <w:szCs w:val="24"/>
          <w:shd w:val="clear" w:color="auto" w:fill="FFFFFF"/>
        </w:rPr>
        <w:t xml:space="preserve"> doanh nghiệp có trách nhiệm</w:t>
      </w:r>
      <w:r w:rsidRPr="00BD6778">
        <w:rPr>
          <w:rFonts w:ascii="Times New Roman" w:hAnsi="Times New Roman" w:cs="Times New Roman"/>
          <w:sz w:val="24"/>
          <w:szCs w:val="24"/>
          <w:shd w:val="clear" w:color="auto" w:fill="FFFFFF"/>
        </w:rPr>
        <w:t xml:space="preserve">: </w:t>
      </w:r>
      <w:r w:rsidRPr="00BD6778">
        <w:rPr>
          <w:rFonts w:ascii="Times New Roman" w:hAnsi="Times New Roman" w:cs="Times New Roman"/>
          <w:i/>
          <w:sz w:val="24"/>
          <w:szCs w:val="24"/>
          <w:shd w:val="clear" w:color="auto" w:fill="FFFFFF"/>
        </w:rPr>
        <w:t>“8. Chỉ được sử dụng lao động đã qua đào tạo hoặc có chứng chỉ kỹ năng nghề quốc gia đối với những nghề trong danh mục do Bộ trưởng Bộ Lao động - Thương binh và Xã hội quy định”</w:t>
      </w:r>
      <w:r w:rsidRPr="00BD6778">
        <w:rPr>
          <w:rFonts w:ascii="Times New Roman" w:hAnsi="Times New Roman" w:cs="Times New Roman"/>
          <w:sz w:val="24"/>
          <w:szCs w:val="24"/>
          <w:shd w:val="clear" w:color="auto" w:fill="FFFFFF"/>
        </w:rPr>
        <w:t>.</w:t>
      </w:r>
    </w:p>
    <w:p w:rsidR="00837160" w:rsidRPr="00BD6778" w:rsidRDefault="00BC33B2" w:rsidP="00D85AEA">
      <w:pPr>
        <w:spacing w:before="120" w:after="120" w:line="240" w:lineRule="auto"/>
        <w:ind w:firstLine="567"/>
        <w:jc w:val="both"/>
        <w:rPr>
          <w:rFonts w:ascii="Times New Roman" w:hAnsi="Times New Roman" w:cs="Times New Roman"/>
          <w:sz w:val="24"/>
          <w:szCs w:val="24"/>
          <w:shd w:val="clear" w:color="auto" w:fill="FFFFFF"/>
        </w:rPr>
      </w:pPr>
      <w:r w:rsidRPr="00BD6778">
        <w:rPr>
          <w:rFonts w:ascii="Times New Roman" w:hAnsi="Times New Roman" w:cs="Times New Roman"/>
          <w:sz w:val="24"/>
          <w:szCs w:val="24"/>
          <w:shd w:val="clear" w:color="auto" w:fill="FFFFFF"/>
        </w:rPr>
        <w:t>Đây là một chính sách đúng đắn, gắn kết vai trò của doanh nghiệp với hoạt động giáo dục nghề nghiệp. Tuy nhiên</w:t>
      </w:r>
      <w:r w:rsidR="00FC4FA3" w:rsidRPr="00BD6778">
        <w:rPr>
          <w:rFonts w:ascii="Times New Roman" w:hAnsi="Times New Roman" w:cs="Times New Roman"/>
          <w:sz w:val="24"/>
          <w:szCs w:val="24"/>
          <w:shd w:val="clear" w:color="auto" w:fill="FFFFFF"/>
        </w:rPr>
        <w:t xml:space="preserve">, với quy định này thì </w:t>
      </w:r>
      <w:r w:rsidR="006818E5" w:rsidRPr="00BD6778">
        <w:rPr>
          <w:rFonts w:ascii="Times New Roman" w:hAnsi="Times New Roman" w:cs="Times New Roman"/>
          <w:sz w:val="24"/>
          <w:szCs w:val="24"/>
          <w:shd w:val="clear" w:color="auto" w:fill="FFFFFF"/>
        </w:rPr>
        <w:t>những</w:t>
      </w:r>
      <w:r w:rsidR="00FC4FA3" w:rsidRPr="00BD6778">
        <w:rPr>
          <w:rFonts w:ascii="Times New Roman" w:hAnsi="Times New Roman" w:cs="Times New Roman"/>
          <w:sz w:val="24"/>
          <w:szCs w:val="24"/>
          <w:shd w:val="clear" w:color="auto" w:fill="FFFFFF"/>
        </w:rPr>
        <w:t xml:space="preserve"> lao động chưa qua đào tạo hoặc chưa có chứng chỉ kỹ năng nghề quốc gia phải </w:t>
      </w:r>
      <w:r w:rsidR="006818E5" w:rsidRPr="00BD6778">
        <w:rPr>
          <w:rFonts w:ascii="Times New Roman" w:hAnsi="Times New Roman" w:cs="Times New Roman"/>
          <w:sz w:val="24"/>
          <w:szCs w:val="24"/>
          <w:shd w:val="clear" w:color="auto" w:fill="FFFFFF"/>
        </w:rPr>
        <w:t xml:space="preserve">đi đào tạo, thi lấy chứng chỉ hoặc chấp nhận bị sa thải. </w:t>
      </w:r>
    </w:p>
    <w:p w:rsidR="00837160" w:rsidRPr="00BD6778" w:rsidRDefault="00837160" w:rsidP="00D85AEA">
      <w:pPr>
        <w:spacing w:before="120" w:after="120" w:line="240" w:lineRule="auto"/>
        <w:ind w:firstLine="567"/>
        <w:jc w:val="both"/>
        <w:rPr>
          <w:rFonts w:ascii="Times New Roman" w:hAnsi="Times New Roman" w:cs="Times New Roman"/>
          <w:sz w:val="24"/>
          <w:szCs w:val="24"/>
          <w:shd w:val="clear" w:color="auto" w:fill="FFFFFF"/>
        </w:rPr>
      </w:pPr>
      <w:r w:rsidRPr="00BD6778">
        <w:rPr>
          <w:rFonts w:ascii="Times New Roman" w:hAnsi="Times New Roman" w:cs="Times New Roman"/>
          <w:sz w:val="24"/>
          <w:szCs w:val="24"/>
          <w:shd w:val="clear" w:color="auto" w:fill="FFFFFF"/>
        </w:rPr>
        <w:t>- Nếu người lao động bị sa thải thì dẫn đến tình trạng thất nghiệp, doanh nghiệp thiếu lao động</w:t>
      </w:r>
      <w:r w:rsidR="006100A0" w:rsidRPr="00BD6778">
        <w:rPr>
          <w:rFonts w:ascii="Times New Roman" w:hAnsi="Times New Roman" w:cs="Times New Roman"/>
          <w:sz w:val="24"/>
          <w:szCs w:val="24"/>
          <w:shd w:val="clear" w:color="auto" w:fill="FFFFFF"/>
        </w:rPr>
        <w:t xml:space="preserve"> hoặc phải tuyển lại từ đầu</w:t>
      </w:r>
      <w:r w:rsidRPr="00BD6778">
        <w:rPr>
          <w:rFonts w:ascii="Times New Roman" w:hAnsi="Times New Roman" w:cs="Times New Roman"/>
          <w:sz w:val="24"/>
          <w:szCs w:val="24"/>
          <w:shd w:val="clear" w:color="auto" w:fill="FFFFFF"/>
        </w:rPr>
        <w:t>;</w:t>
      </w:r>
    </w:p>
    <w:p w:rsidR="00837160" w:rsidRPr="00BD6778" w:rsidRDefault="00837160" w:rsidP="00D85AEA">
      <w:pPr>
        <w:spacing w:before="120" w:after="120" w:line="240" w:lineRule="auto"/>
        <w:ind w:firstLine="567"/>
        <w:jc w:val="both"/>
        <w:rPr>
          <w:rFonts w:ascii="Times New Roman" w:hAnsi="Times New Roman" w:cs="Times New Roman"/>
          <w:sz w:val="24"/>
          <w:szCs w:val="24"/>
          <w:shd w:val="clear" w:color="auto" w:fill="FFFFFF"/>
        </w:rPr>
      </w:pPr>
      <w:r w:rsidRPr="00BD6778">
        <w:rPr>
          <w:rFonts w:ascii="Times New Roman" w:hAnsi="Times New Roman" w:cs="Times New Roman"/>
          <w:sz w:val="24"/>
          <w:szCs w:val="24"/>
          <w:shd w:val="clear" w:color="auto" w:fill="FFFFFF"/>
        </w:rPr>
        <w:t xml:space="preserve">- </w:t>
      </w:r>
      <w:r w:rsidR="006818E5" w:rsidRPr="00BD6778">
        <w:rPr>
          <w:rFonts w:ascii="Times New Roman" w:hAnsi="Times New Roman" w:cs="Times New Roman"/>
          <w:sz w:val="24"/>
          <w:szCs w:val="24"/>
          <w:shd w:val="clear" w:color="auto" w:fill="FFFFFF"/>
        </w:rPr>
        <w:t xml:space="preserve">Nếu </w:t>
      </w:r>
      <w:r w:rsidRPr="00BD6778">
        <w:rPr>
          <w:rFonts w:ascii="Times New Roman" w:hAnsi="Times New Roman" w:cs="Times New Roman"/>
          <w:sz w:val="24"/>
          <w:szCs w:val="24"/>
          <w:shd w:val="clear" w:color="auto" w:fill="FFFFFF"/>
        </w:rPr>
        <w:t xml:space="preserve">người lao động </w:t>
      </w:r>
      <w:r w:rsidR="006818E5" w:rsidRPr="00BD6778">
        <w:rPr>
          <w:rFonts w:ascii="Times New Roman" w:hAnsi="Times New Roman" w:cs="Times New Roman"/>
          <w:sz w:val="24"/>
          <w:szCs w:val="24"/>
          <w:shd w:val="clear" w:color="auto" w:fill="FFFFFF"/>
        </w:rPr>
        <w:t xml:space="preserve">đi đào tạo hoặc thi lấy chứng chỉ thì người lao động phải tự bỏ tiền ra học hay doanh nghiệp sẽ hỗ trợ chi phí cho người lao động? Nếu doanh nghiệp hỗ trợ chi phí thì với những doanh nghiệp lớn việc này sẽ rất tốn kém cho doanh nghiệp. Hoặc cũng có thể dẫn đến trường hợp người lao động mua chứng chỉ để hợp thức hóa trình độ của mình. </w:t>
      </w:r>
    </w:p>
    <w:p w:rsidR="00FC4FA3" w:rsidRPr="00BD6778" w:rsidRDefault="006818E5" w:rsidP="00D85AEA">
      <w:pPr>
        <w:spacing w:before="120" w:after="120" w:line="240" w:lineRule="auto"/>
        <w:ind w:firstLine="567"/>
        <w:jc w:val="both"/>
        <w:rPr>
          <w:rFonts w:ascii="Times New Roman" w:hAnsi="Times New Roman" w:cs="Times New Roman"/>
          <w:sz w:val="24"/>
          <w:szCs w:val="24"/>
          <w:shd w:val="clear" w:color="auto" w:fill="FFFFFF"/>
        </w:rPr>
      </w:pPr>
      <w:r w:rsidRPr="00BD6778">
        <w:rPr>
          <w:rFonts w:ascii="Times New Roman" w:hAnsi="Times New Roman" w:cs="Times New Roman"/>
          <w:sz w:val="24"/>
          <w:szCs w:val="24"/>
          <w:shd w:val="clear" w:color="auto" w:fill="FFFFFF"/>
        </w:rPr>
        <w:t xml:space="preserve">Do đó, quy định này cần phải đặt ra lộ trình thực hiện cụ thể, chi tiết, </w:t>
      </w:r>
      <w:r w:rsidR="001D79E1" w:rsidRPr="00BD6778">
        <w:rPr>
          <w:rFonts w:ascii="Times New Roman" w:hAnsi="Times New Roman" w:cs="Times New Roman"/>
          <w:sz w:val="24"/>
          <w:szCs w:val="24"/>
          <w:shd w:val="clear" w:color="auto" w:fill="FFFFFF"/>
        </w:rPr>
        <w:t xml:space="preserve">cho doanh nghiệp và người lao động có một khoảng thời gian chuyển tiếp để thực hiện và nhà nước cũng phải </w:t>
      </w:r>
      <w:r w:rsidRPr="00BD6778">
        <w:rPr>
          <w:rFonts w:ascii="Times New Roman" w:hAnsi="Times New Roman" w:cs="Times New Roman"/>
          <w:sz w:val="24"/>
          <w:szCs w:val="24"/>
          <w:shd w:val="clear" w:color="auto" w:fill="FFFFFF"/>
        </w:rPr>
        <w:t>có phương án giải quyết các vấn đề phát sinh</w:t>
      </w:r>
      <w:r w:rsidR="001D79E1" w:rsidRPr="00BD6778">
        <w:rPr>
          <w:rFonts w:ascii="Times New Roman" w:hAnsi="Times New Roman" w:cs="Times New Roman"/>
          <w:sz w:val="24"/>
          <w:szCs w:val="24"/>
          <w:shd w:val="clear" w:color="auto" w:fill="FFFFFF"/>
        </w:rPr>
        <w:t>,</w:t>
      </w:r>
      <w:r w:rsidRPr="00BD6778">
        <w:rPr>
          <w:rFonts w:ascii="Times New Roman" w:hAnsi="Times New Roman" w:cs="Times New Roman"/>
          <w:sz w:val="24"/>
          <w:szCs w:val="24"/>
          <w:shd w:val="clear" w:color="auto" w:fill="FFFFFF"/>
        </w:rPr>
        <w:t xml:space="preserve"> cân đối tài chính để hỗ trợ người lao động, doanh nghiệp. Hiện nay, Nghị định số 48/2015/NĐ-CP quy định chi tiết một số điều của Luật giáo dục nghề nghiệp </w:t>
      </w:r>
      <w:r w:rsidR="001D79E1" w:rsidRPr="00BD6778">
        <w:rPr>
          <w:rFonts w:ascii="Times New Roman" w:hAnsi="Times New Roman" w:cs="Times New Roman"/>
          <w:sz w:val="24"/>
          <w:szCs w:val="24"/>
          <w:shd w:val="clear" w:color="auto" w:fill="FFFFFF"/>
        </w:rPr>
        <w:t xml:space="preserve">cũng </w:t>
      </w:r>
      <w:r w:rsidRPr="00BD6778">
        <w:rPr>
          <w:rFonts w:ascii="Times New Roman" w:hAnsi="Times New Roman" w:cs="Times New Roman"/>
          <w:sz w:val="24"/>
          <w:szCs w:val="24"/>
          <w:shd w:val="clear" w:color="auto" w:fill="FFFFFF"/>
        </w:rPr>
        <w:t>chưa làm rõ vấn đề này.</w:t>
      </w:r>
    </w:p>
    <w:p w:rsidR="00BC33B2" w:rsidRPr="00BD6778" w:rsidRDefault="00BC33B2" w:rsidP="00D85AEA">
      <w:pPr>
        <w:spacing w:before="120" w:after="120" w:line="240" w:lineRule="auto"/>
        <w:ind w:firstLine="567"/>
        <w:jc w:val="both"/>
        <w:rPr>
          <w:rFonts w:ascii="Times New Roman" w:hAnsi="Times New Roman" w:cs="Times New Roman"/>
          <w:b/>
          <w:sz w:val="24"/>
          <w:szCs w:val="24"/>
          <w:shd w:val="clear" w:color="auto" w:fill="FFFFFF"/>
        </w:rPr>
      </w:pPr>
      <w:r w:rsidRPr="00BD6778">
        <w:rPr>
          <w:rFonts w:ascii="Times New Roman" w:hAnsi="Times New Roman" w:cs="Times New Roman"/>
          <w:b/>
          <w:sz w:val="24"/>
          <w:szCs w:val="24"/>
          <w:shd w:val="clear" w:color="auto" w:fill="FFFFFF"/>
        </w:rPr>
        <w:t xml:space="preserve">b) Về </w:t>
      </w:r>
      <w:r w:rsidR="00C81151" w:rsidRPr="00BD6778">
        <w:rPr>
          <w:rFonts w:ascii="Times New Roman" w:hAnsi="Times New Roman" w:cs="Times New Roman"/>
          <w:b/>
          <w:sz w:val="24"/>
          <w:szCs w:val="24"/>
          <w:shd w:val="clear" w:color="auto" w:fill="FFFFFF"/>
        </w:rPr>
        <w:t>phương thức đào tạo</w:t>
      </w:r>
    </w:p>
    <w:p w:rsidR="00BC33B2" w:rsidRPr="00BD6778" w:rsidRDefault="00341F3E" w:rsidP="00D85AEA">
      <w:pPr>
        <w:spacing w:before="120" w:after="120" w:line="240" w:lineRule="auto"/>
        <w:ind w:firstLine="567"/>
        <w:jc w:val="both"/>
        <w:rPr>
          <w:rFonts w:ascii="Times New Roman" w:hAnsi="Times New Roman" w:cs="Times New Roman"/>
          <w:sz w:val="24"/>
          <w:szCs w:val="24"/>
          <w:shd w:val="clear" w:color="auto" w:fill="FFFFFF"/>
        </w:rPr>
      </w:pPr>
      <w:r w:rsidRPr="00BD6778">
        <w:rPr>
          <w:rFonts w:ascii="Times New Roman" w:hAnsi="Times New Roman" w:cs="Times New Roman"/>
          <w:sz w:val="24"/>
          <w:szCs w:val="24"/>
          <w:shd w:val="clear" w:color="auto" w:fill="FFFFFF"/>
        </w:rPr>
        <w:t>Luật giáo dục đào tạo quy định hệ thống giáo dục quốc dân bao gồm cả “</w:t>
      </w:r>
      <w:r w:rsidRPr="00BD6778">
        <w:rPr>
          <w:rFonts w:ascii="Times New Roman" w:hAnsi="Times New Roman" w:cs="Times New Roman"/>
          <w:i/>
          <w:sz w:val="24"/>
          <w:szCs w:val="24"/>
          <w:shd w:val="clear" w:color="auto" w:fill="FFFFFF"/>
        </w:rPr>
        <w:t>Giáo dục nghề nghiệp đào tạo trình độ sơ cấp, trung cấp, cao đẳng và các chương trình đào tạo nghề nghiệp khác</w:t>
      </w:r>
      <w:r w:rsidRPr="00BD6778">
        <w:rPr>
          <w:rFonts w:ascii="Times New Roman" w:hAnsi="Times New Roman" w:cs="Times New Roman"/>
          <w:sz w:val="24"/>
          <w:szCs w:val="24"/>
          <w:shd w:val="clear" w:color="auto" w:fill="FFFFFF"/>
        </w:rPr>
        <w:t>” (Điều 4); Luật giáo dục nghề nghiệp cũng khẳng định: “</w:t>
      </w:r>
      <w:r w:rsidRPr="00BD6778">
        <w:rPr>
          <w:rFonts w:ascii="Times New Roman" w:hAnsi="Times New Roman" w:cs="Times New Roman"/>
          <w:i/>
          <w:iCs/>
          <w:sz w:val="24"/>
          <w:szCs w:val="24"/>
          <w:shd w:val="clear" w:color="auto" w:fill="FFFFFF"/>
        </w:rPr>
        <w:t>Giáo dục nghề nghiệp</w:t>
      </w:r>
      <w:r w:rsidRPr="00BD6778">
        <w:rPr>
          <w:rFonts w:ascii="Times New Roman" w:hAnsi="Times New Roman" w:cs="Times New Roman"/>
          <w:i/>
          <w:sz w:val="24"/>
          <w:szCs w:val="24"/>
          <w:shd w:val="clear" w:color="auto" w:fill="FFFFFF"/>
        </w:rPr>
        <w:t> là một bậc học của hệ thống giáo dục quốc dân</w:t>
      </w:r>
      <w:r w:rsidRPr="00BD6778">
        <w:rPr>
          <w:rFonts w:ascii="Times New Roman" w:hAnsi="Times New Roman" w:cs="Times New Roman"/>
          <w:sz w:val="24"/>
          <w:szCs w:val="24"/>
          <w:shd w:val="clear" w:color="auto" w:fill="FFFFFF"/>
        </w:rPr>
        <w:t xml:space="preserve">”. Như vậy, </w:t>
      </w:r>
      <w:r w:rsidR="00C81151" w:rsidRPr="00BD6778">
        <w:rPr>
          <w:rFonts w:ascii="Times New Roman" w:hAnsi="Times New Roman" w:cs="Times New Roman"/>
          <w:sz w:val="24"/>
          <w:szCs w:val="24"/>
          <w:shd w:val="clear" w:color="auto" w:fill="FFFFFF"/>
        </w:rPr>
        <w:t xml:space="preserve">phương thức đào tạocủa giáo dục nghề nghiệp </w:t>
      </w:r>
      <w:r w:rsidRPr="00BD6778">
        <w:rPr>
          <w:rFonts w:ascii="Times New Roman" w:hAnsi="Times New Roman" w:cs="Times New Roman"/>
          <w:sz w:val="24"/>
          <w:szCs w:val="24"/>
          <w:shd w:val="clear" w:color="auto" w:fill="FFFFFF"/>
        </w:rPr>
        <w:t xml:space="preserve">cần phải được thực hiện thống nhất </w:t>
      </w:r>
      <w:r w:rsidR="00C81151" w:rsidRPr="00BD6778">
        <w:rPr>
          <w:rFonts w:ascii="Times New Roman" w:hAnsi="Times New Roman" w:cs="Times New Roman"/>
          <w:sz w:val="24"/>
          <w:szCs w:val="24"/>
          <w:shd w:val="clear" w:color="auto" w:fill="FFFFFF"/>
        </w:rPr>
        <w:t>với các bậc học khác</w:t>
      </w:r>
      <w:r w:rsidR="00DC0B3C" w:rsidRPr="00BD6778">
        <w:rPr>
          <w:rFonts w:ascii="Times New Roman" w:hAnsi="Times New Roman" w:cs="Times New Roman"/>
          <w:sz w:val="24"/>
          <w:szCs w:val="24"/>
          <w:shd w:val="clear" w:color="auto" w:fill="FFFFFF"/>
        </w:rPr>
        <w:t xml:space="preserve"> hệ thống giáo dục quốc dân. Tuy nhiên, Luật giáo dục và Luật giáo dục nghề nghiệp lại quy định chưa thống nhất ở nội dung này. Theo quy định của Luật giáo dục thì </w:t>
      </w:r>
      <w:r w:rsidR="00C81151" w:rsidRPr="00BD6778">
        <w:rPr>
          <w:rFonts w:ascii="Times New Roman" w:hAnsi="Times New Roman" w:cs="Times New Roman"/>
          <w:sz w:val="24"/>
          <w:szCs w:val="24"/>
          <w:shd w:val="clear" w:color="auto" w:fill="FFFFFF"/>
        </w:rPr>
        <w:t>phương thức đào tạo được</w:t>
      </w:r>
      <w:r w:rsidR="00DC0B3C" w:rsidRPr="00BD6778">
        <w:rPr>
          <w:rFonts w:ascii="Times New Roman" w:hAnsi="Times New Roman" w:cs="Times New Roman"/>
          <w:sz w:val="24"/>
          <w:szCs w:val="24"/>
          <w:shd w:val="clear" w:color="auto" w:fill="FFFFFF"/>
        </w:rPr>
        <w:t xml:space="preserve"> tổ chức </w:t>
      </w:r>
      <w:r w:rsidR="00DC0B3C" w:rsidRPr="00BD6778">
        <w:rPr>
          <w:rFonts w:ascii="Times New Roman" w:hAnsi="Times New Roman" w:cs="Times New Roman"/>
          <w:b/>
          <w:sz w:val="24"/>
          <w:szCs w:val="24"/>
          <w:shd w:val="clear" w:color="auto" w:fill="FFFFFF"/>
        </w:rPr>
        <w:t>theo năm học hoặc theo hình thức tích lũy tín chỉ</w:t>
      </w:r>
      <w:r w:rsidR="00DC0B3C" w:rsidRPr="00BD6778">
        <w:rPr>
          <w:rFonts w:ascii="Times New Roman" w:hAnsi="Times New Roman" w:cs="Times New Roman"/>
          <w:sz w:val="24"/>
          <w:szCs w:val="24"/>
          <w:shd w:val="clear" w:color="auto" w:fill="FFFFFF"/>
        </w:rPr>
        <w:t xml:space="preserve"> đối với giáo dục nghề nghiệp; còn Luật giáo dục nghề nghiệp lại quy định </w:t>
      </w:r>
      <w:r w:rsidR="00C81151" w:rsidRPr="00BD6778">
        <w:rPr>
          <w:rFonts w:ascii="Times New Roman" w:hAnsi="Times New Roman" w:cs="Times New Roman"/>
          <w:sz w:val="24"/>
          <w:szCs w:val="24"/>
          <w:shd w:val="clear" w:color="auto" w:fill="FFFFFF"/>
        </w:rPr>
        <w:t>phương thức đào tạo</w:t>
      </w:r>
      <w:r w:rsidR="00DC0B3C" w:rsidRPr="00BD6778">
        <w:rPr>
          <w:rFonts w:ascii="Times New Roman" w:hAnsi="Times New Roman" w:cs="Times New Roman"/>
          <w:sz w:val="24"/>
          <w:szCs w:val="24"/>
          <w:shd w:val="clear" w:color="auto" w:fill="FFFFFF"/>
        </w:rPr>
        <w:t xml:space="preserve"> được tổ chức theo </w:t>
      </w:r>
      <w:r w:rsidR="00DC0B3C" w:rsidRPr="00BD6778">
        <w:rPr>
          <w:rFonts w:ascii="Times New Roman" w:hAnsi="Times New Roman" w:cs="Times New Roman"/>
          <w:b/>
          <w:sz w:val="24"/>
          <w:szCs w:val="24"/>
          <w:shd w:val="clear" w:color="auto" w:fill="FFFFFF"/>
        </w:rPr>
        <w:t>năm học, mô-đun hoặc tín chỉ</w:t>
      </w:r>
      <w:r w:rsidR="00DC0B3C" w:rsidRPr="00BD6778">
        <w:rPr>
          <w:rFonts w:ascii="Times New Roman" w:hAnsi="Times New Roman" w:cs="Times New Roman"/>
          <w:sz w:val="24"/>
          <w:szCs w:val="24"/>
          <w:shd w:val="clear" w:color="auto" w:fill="FFFFFF"/>
        </w:rPr>
        <w:t xml:space="preserve">. Như vậy là có sự vênh nhau, chưa thống nhất giữa Luật giáo dục và Luật giáo dục nghề nghiệp. Một số ý kiến cho rằng, điều này sẽ gây khó khăn cho việc xác định giá trị chuyển đổi của các môn học trong việc học liên thông từ giáo dục nghề nghiệp lên giáo dục đại học. </w:t>
      </w:r>
    </w:p>
    <w:p w:rsidR="00DC0B3C" w:rsidRPr="00BD6778" w:rsidRDefault="00DC0B3C" w:rsidP="00D85AEA">
      <w:pPr>
        <w:spacing w:before="120" w:after="120" w:line="240" w:lineRule="auto"/>
        <w:ind w:firstLine="567"/>
        <w:jc w:val="both"/>
        <w:rPr>
          <w:rFonts w:ascii="Times New Roman" w:hAnsi="Times New Roman" w:cs="Times New Roman"/>
          <w:sz w:val="24"/>
          <w:szCs w:val="24"/>
          <w:shd w:val="clear" w:color="auto" w:fill="FFFFFF"/>
        </w:rPr>
      </w:pPr>
      <w:r w:rsidRPr="00BD6778">
        <w:rPr>
          <w:rFonts w:ascii="Times New Roman" w:hAnsi="Times New Roman" w:cs="Times New Roman"/>
          <w:sz w:val="24"/>
          <w:szCs w:val="24"/>
          <w:shd w:val="clear" w:color="auto" w:fill="FFFFFF"/>
        </w:rPr>
        <w:t>Do đó, với những nội dung còn có ý kiến khác nhau như trên, cơ quan quản lý nhà nước về giáo dục nghề nghiệp cần phải có hướng dẫn thống nhất đưa ra những định hướng, giải pháp thực hiện chung để tháo gỡ những khó khăn, bất cập của quy định.</w:t>
      </w:r>
    </w:p>
    <w:p w:rsidR="00292340" w:rsidRPr="00BD6778" w:rsidRDefault="00C44910" w:rsidP="00D85AEA">
      <w:pPr>
        <w:spacing w:before="120" w:after="120" w:line="240" w:lineRule="auto"/>
        <w:ind w:firstLine="567"/>
        <w:jc w:val="both"/>
        <w:rPr>
          <w:rFonts w:ascii="Times New Roman" w:hAnsi="Times New Roman" w:cs="Times New Roman"/>
          <w:sz w:val="24"/>
          <w:szCs w:val="24"/>
          <w:shd w:val="clear" w:color="auto" w:fill="FFFFFF"/>
        </w:rPr>
      </w:pPr>
      <w:r w:rsidRPr="00BD6778">
        <w:rPr>
          <w:rFonts w:ascii="Times New Roman" w:hAnsi="Times New Roman" w:cs="Times New Roman"/>
          <w:sz w:val="24"/>
          <w:szCs w:val="24"/>
          <w:shd w:val="clear" w:color="auto" w:fill="FFFFFF"/>
        </w:rPr>
        <w:t>Xin được nêu một số vướng mắc, bất cập để cùng trao đổi, thảo luận, tìm kiếm các giải pháp góp phần hoàn thiện hệ thống pháp luật trong lĩnh vực này./.</w:t>
      </w:r>
    </w:p>
    <w:p w:rsidR="00292340" w:rsidRPr="00BD6778" w:rsidRDefault="00292340" w:rsidP="005E19E2">
      <w:pPr>
        <w:spacing w:before="120" w:after="120" w:line="240" w:lineRule="auto"/>
        <w:jc w:val="both"/>
        <w:rPr>
          <w:rFonts w:ascii="Times New Roman" w:hAnsi="Times New Roman" w:cs="Times New Roman"/>
          <w:sz w:val="24"/>
          <w:szCs w:val="24"/>
          <w:shd w:val="clear" w:color="auto" w:fill="FFFFFF"/>
        </w:rPr>
      </w:pPr>
      <w:bookmarkStart w:id="1" w:name="_GoBack"/>
      <w:bookmarkEnd w:id="1"/>
    </w:p>
    <w:sectPr w:rsidR="00292340" w:rsidRPr="00BD6778" w:rsidSect="001D3B10">
      <w:footerReference w:type="default" r:id="rId7"/>
      <w:pgSz w:w="11907" w:h="16840" w:code="9"/>
      <w:pgMar w:top="567" w:right="1134"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4BC" w:rsidRDefault="006D34BC" w:rsidP="00292340">
      <w:pPr>
        <w:spacing w:after="0" w:line="240" w:lineRule="auto"/>
      </w:pPr>
      <w:r>
        <w:separator/>
      </w:r>
    </w:p>
  </w:endnote>
  <w:endnote w:type="continuationSeparator" w:id="1">
    <w:p w:rsidR="006D34BC" w:rsidRDefault="006D34BC" w:rsidP="002923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221047"/>
      <w:docPartObj>
        <w:docPartGallery w:val="Page Numbers (Bottom of Page)"/>
        <w:docPartUnique/>
      </w:docPartObj>
    </w:sdtPr>
    <w:sdtEndPr>
      <w:rPr>
        <w:noProof/>
      </w:rPr>
    </w:sdtEndPr>
    <w:sdtContent>
      <w:p w:rsidR="00292340" w:rsidRDefault="008734E6">
        <w:pPr>
          <w:pStyle w:val="Footer"/>
          <w:jc w:val="center"/>
        </w:pPr>
        <w:r>
          <w:fldChar w:fldCharType="begin"/>
        </w:r>
        <w:r w:rsidR="00292340">
          <w:instrText xml:space="preserve"> PAGE   \* MERGEFORMAT </w:instrText>
        </w:r>
        <w:r>
          <w:fldChar w:fldCharType="separate"/>
        </w:r>
        <w:r w:rsidR="00C1421D">
          <w:rPr>
            <w:noProof/>
          </w:rPr>
          <w:t>1</w:t>
        </w:r>
        <w:r>
          <w:rPr>
            <w:noProof/>
          </w:rPr>
          <w:fldChar w:fldCharType="end"/>
        </w:r>
      </w:p>
    </w:sdtContent>
  </w:sdt>
  <w:p w:rsidR="00292340" w:rsidRDefault="002923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4BC" w:rsidRDefault="006D34BC" w:rsidP="00292340">
      <w:pPr>
        <w:spacing w:after="0" w:line="240" w:lineRule="auto"/>
      </w:pPr>
      <w:r>
        <w:separator/>
      </w:r>
    </w:p>
  </w:footnote>
  <w:footnote w:type="continuationSeparator" w:id="1">
    <w:p w:rsidR="006D34BC" w:rsidRDefault="006D34BC" w:rsidP="00292340">
      <w:pPr>
        <w:spacing w:after="0" w:line="240" w:lineRule="auto"/>
      </w:pPr>
      <w:r>
        <w:continuationSeparator/>
      </w:r>
    </w:p>
  </w:footnote>
  <w:footnote w:id="2">
    <w:p w:rsidR="00FE18FC" w:rsidRPr="00BD6778" w:rsidRDefault="00FE18FC" w:rsidP="00FE18FC">
      <w:pPr>
        <w:pStyle w:val="FootnoteText"/>
        <w:jc w:val="both"/>
        <w:rPr>
          <w:rFonts w:ascii="Times New Roman" w:hAnsi="Times New Roman" w:cs="Times New Roman"/>
          <w:sz w:val="16"/>
          <w:szCs w:val="16"/>
        </w:rPr>
      </w:pPr>
      <w:r w:rsidRPr="00BD6778">
        <w:rPr>
          <w:rStyle w:val="FootnoteReference"/>
          <w:rFonts w:ascii="Times New Roman" w:hAnsi="Times New Roman" w:cs="Times New Roman"/>
          <w:sz w:val="16"/>
          <w:szCs w:val="16"/>
        </w:rPr>
        <w:footnoteRef/>
      </w:r>
      <w:r w:rsidR="009405E0" w:rsidRPr="00BD6778">
        <w:rPr>
          <w:rFonts w:ascii="Times New Roman" w:hAnsi="Times New Roman" w:cs="Times New Roman"/>
          <w:sz w:val="16"/>
          <w:szCs w:val="16"/>
        </w:rPr>
        <w:t xml:space="preserve">Tài liệu tham khảo: </w:t>
      </w:r>
      <w:hyperlink r:id="rId1" w:anchor="1" w:history="1">
        <w:r w:rsidRPr="00BD6778">
          <w:rPr>
            <w:rStyle w:val="Hyperlink"/>
            <w:rFonts w:ascii="Times New Roman" w:hAnsi="Times New Roman" w:cs="Times New Roman"/>
            <w:b/>
            <w:bCs/>
            <w:color w:val="auto"/>
            <w:sz w:val="16"/>
            <w:szCs w:val="16"/>
            <w:u w:val="none"/>
          </w:rPr>
          <w:t>50 điểm mới Luật Giáo dục nghề nghiệp: Nhiều đổi mới chính sách đối với người học</w:t>
        </w:r>
      </w:hyperlink>
      <w:r w:rsidRPr="00BD6778">
        <w:rPr>
          <w:rFonts w:ascii="Times New Roman" w:hAnsi="Times New Roman" w:cs="Times New Roman"/>
          <w:sz w:val="16"/>
          <w:szCs w:val="16"/>
        </w:rPr>
        <w:t xml:space="preserve">  (</w:t>
      </w:r>
      <w:r w:rsidR="00935BD1" w:rsidRPr="00BD6778">
        <w:rPr>
          <w:rStyle w:val="Strong"/>
          <w:rFonts w:ascii="Times New Roman" w:hAnsi="Times New Roman" w:cs="Times New Roman"/>
          <w:i/>
          <w:iCs/>
          <w:sz w:val="16"/>
          <w:szCs w:val="16"/>
        </w:rPr>
        <w:t>TS.Vũ Xuân Hùng -</w:t>
      </w:r>
      <w:r w:rsidRPr="00BD6778">
        <w:rPr>
          <w:rStyle w:val="Strong"/>
          <w:rFonts w:ascii="Times New Roman" w:hAnsi="Times New Roman" w:cs="Times New Roman"/>
          <w:i/>
          <w:iCs/>
          <w:sz w:val="16"/>
          <w:szCs w:val="16"/>
        </w:rPr>
        <w:t xml:space="preserve"> Viện trưởng Viện Nghiên cứu Khoa học dạy nghề) </w:t>
      </w:r>
      <w:r w:rsidRPr="00BD6778">
        <w:rPr>
          <w:rFonts w:ascii="Times New Roman" w:hAnsi="Times New Roman" w:cs="Times New Roman"/>
          <w:sz w:val="16"/>
          <w:szCs w:val="16"/>
        </w:rPr>
        <w:t>http://gdnn.gov.vn/AIAdmin/News/View/tabid/66/newsid/6166/seo/50-diem-moi-Luat-Giao-duc-nghe-nghiep-Nhieu-doi-moi-chinh-sach-doi-voi-nguoi-hoc/Default.aspx</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C6A5F"/>
    <w:rsid w:val="00003B2D"/>
    <w:rsid w:val="00034DBD"/>
    <w:rsid w:val="000406D3"/>
    <w:rsid w:val="0004516D"/>
    <w:rsid w:val="000471C2"/>
    <w:rsid w:val="00060DD2"/>
    <w:rsid w:val="000626FB"/>
    <w:rsid w:val="00067159"/>
    <w:rsid w:val="00070F7F"/>
    <w:rsid w:val="00074B09"/>
    <w:rsid w:val="000752E3"/>
    <w:rsid w:val="0007650A"/>
    <w:rsid w:val="000A23B2"/>
    <w:rsid w:val="000A6FF8"/>
    <w:rsid w:val="000B3BF6"/>
    <w:rsid w:val="000B6672"/>
    <w:rsid w:val="000C46EF"/>
    <w:rsid w:val="000D05D3"/>
    <w:rsid w:val="000D2054"/>
    <w:rsid w:val="000E4EB9"/>
    <w:rsid w:val="00102339"/>
    <w:rsid w:val="00103BBB"/>
    <w:rsid w:val="001316BA"/>
    <w:rsid w:val="00141878"/>
    <w:rsid w:val="0015099D"/>
    <w:rsid w:val="0016354B"/>
    <w:rsid w:val="0017729A"/>
    <w:rsid w:val="00190443"/>
    <w:rsid w:val="001A2642"/>
    <w:rsid w:val="001A45B9"/>
    <w:rsid w:val="001A5F50"/>
    <w:rsid w:val="001B2F73"/>
    <w:rsid w:val="001B415E"/>
    <w:rsid w:val="001C2082"/>
    <w:rsid w:val="001D2150"/>
    <w:rsid w:val="001D3B10"/>
    <w:rsid w:val="001D6396"/>
    <w:rsid w:val="001D68B0"/>
    <w:rsid w:val="001D79E1"/>
    <w:rsid w:val="001E3F7A"/>
    <w:rsid w:val="00250AA3"/>
    <w:rsid w:val="00290367"/>
    <w:rsid w:val="00292340"/>
    <w:rsid w:val="00294647"/>
    <w:rsid w:val="00296AE4"/>
    <w:rsid w:val="002B5ED0"/>
    <w:rsid w:val="002C398E"/>
    <w:rsid w:val="002C3AB1"/>
    <w:rsid w:val="002D51EC"/>
    <w:rsid w:val="002D7933"/>
    <w:rsid w:val="002E17CA"/>
    <w:rsid w:val="00303BC6"/>
    <w:rsid w:val="00304DF8"/>
    <w:rsid w:val="003100EF"/>
    <w:rsid w:val="0031386E"/>
    <w:rsid w:val="00314C22"/>
    <w:rsid w:val="00321517"/>
    <w:rsid w:val="00323501"/>
    <w:rsid w:val="00327845"/>
    <w:rsid w:val="0033727D"/>
    <w:rsid w:val="00340F4E"/>
    <w:rsid w:val="00341F3E"/>
    <w:rsid w:val="00351CDD"/>
    <w:rsid w:val="003529BA"/>
    <w:rsid w:val="00364C2A"/>
    <w:rsid w:val="00374D4D"/>
    <w:rsid w:val="00380660"/>
    <w:rsid w:val="003B1F8A"/>
    <w:rsid w:val="003B666B"/>
    <w:rsid w:val="003C79B8"/>
    <w:rsid w:val="003D0447"/>
    <w:rsid w:val="003D2014"/>
    <w:rsid w:val="003E3735"/>
    <w:rsid w:val="003E6170"/>
    <w:rsid w:val="003F2F63"/>
    <w:rsid w:val="0040776F"/>
    <w:rsid w:val="00432407"/>
    <w:rsid w:val="00436347"/>
    <w:rsid w:val="00444BE0"/>
    <w:rsid w:val="0044515A"/>
    <w:rsid w:val="004500A6"/>
    <w:rsid w:val="0045199E"/>
    <w:rsid w:val="004720CD"/>
    <w:rsid w:val="0047472D"/>
    <w:rsid w:val="004767D9"/>
    <w:rsid w:val="00494F69"/>
    <w:rsid w:val="004B72C6"/>
    <w:rsid w:val="004C5BA5"/>
    <w:rsid w:val="004F618A"/>
    <w:rsid w:val="004F6C68"/>
    <w:rsid w:val="004F74E3"/>
    <w:rsid w:val="00501CCE"/>
    <w:rsid w:val="005038C1"/>
    <w:rsid w:val="00514C01"/>
    <w:rsid w:val="00525CD9"/>
    <w:rsid w:val="005265C0"/>
    <w:rsid w:val="00584BC5"/>
    <w:rsid w:val="005A025B"/>
    <w:rsid w:val="005A0431"/>
    <w:rsid w:val="005A6497"/>
    <w:rsid w:val="005B3A2C"/>
    <w:rsid w:val="005C3AA2"/>
    <w:rsid w:val="005D028C"/>
    <w:rsid w:val="005E053B"/>
    <w:rsid w:val="005E19E2"/>
    <w:rsid w:val="005F3897"/>
    <w:rsid w:val="00606ACE"/>
    <w:rsid w:val="006100A0"/>
    <w:rsid w:val="00637AA7"/>
    <w:rsid w:val="0065326D"/>
    <w:rsid w:val="00655D89"/>
    <w:rsid w:val="00670460"/>
    <w:rsid w:val="006752B1"/>
    <w:rsid w:val="006818E5"/>
    <w:rsid w:val="00687B2D"/>
    <w:rsid w:val="00695CFE"/>
    <w:rsid w:val="006B48F5"/>
    <w:rsid w:val="006C0024"/>
    <w:rsid w:val="006C1C01"/>
    <w:rsid w:val="006C7BC7"/>
    <w:rsid w:val="006D34BC"/>
    <w:rsid w:val="006D4B35"/>
    <w:rsid w:val="006D6C82"/>
    <w:rsid w:val="006E4626"/>
    <w:rsid w:val="00703F46"/>
    <w:rsid w:val="00710A98"/>
    <w:rsid w:val="007405DC"/>
    <w:rsid w:val="0074465E"/>
    <w:rsid w:val="00745C4F"/>
    <w:rsid w:val="00757850"/>
    <w:rsid w:val="00760FC8"/>
    <w:rsid w:val="00764BAF"/>
    <w:rsid w:val="00772E12"/>
    <w:rsid w:val="00783FFF"/>
    <w:rsid w:val="0078413D"/>
    <w:rsid w:val="00784259"/>
    <w:rsid w:val="007B07A7"/>
    <w:rsid w:val="007B0E32"/>
    <w:rsid w:val="007B1960"/>
    <w:rsid w:val="007B368F"/>
    <w:rsid w:val="007B5CF7"/>
    <w:rsid w:val="007C5F2C"/>
    <w:rsid w:val="007F19BE"/>
    <w:rsid w:val="00803319"/>
    <w:rsid w:val="008258B7"/>
    <w:rsid w:val="00837160"/>
    <w:rsid w:val="0084181C"/>
    <w:rsid w:val="00846B01"/>
    <w:rsid w:val="0085104D"/>
    <w:rsid w:val="0085588F"/>
    <w:rsid w:val="008714ED"/>
    <w:rsid w:val="0087165A"/>
    <w:rsid w:val="008734E6"/>
    <w:rsid w:val="00893D80"/>
    <w:rsid w:val="00894B41"/>
    <w:rsid w:val="008B4E49"/>
    <w:rsid w:val="008D3E0F"/>
    <w:rsid w:val="008F4476"/>
    <w:rsid w:val="009002C3"/>
    <w:rsid w:val="0090604D"/>
    <w:rsid w:val="00911B2D"/>
    <w:rsid w:val="00921154"/>
    <w:rsid w:val="00935BD1"/>
    <w:rsid w:val="00935CD0"/>
    <w:rsid w:val="009405E0"/>
    <w:rsid w:val="00957841"/>
    <w:rsid w:val="00957E91"/>
    <w:rsid w:val="009722BB"/>
    <w:rsid w:val="00991F49"/>
    <w:rsid w:val="009D5B7A"/>
    <w:rsid w:val="009D6BAC"/>
    <w:rsid w:val="009E54BF"/>
    <w:rsid w:val="00A13B21"/>
    <w:rsid w:val="00A17C39"/>
    <w:rsid w:val="00A2175C"/>
    <w:rsid w:val="00A22F88"/>
    <w:rsid w:val="00A24E5B"/>
    <w:rsid w:val="00A251DA"/>
    <w:rsid w:val="00A31CEB"/>
    <w:rsid w:val="00A467A2"/>
    <w:rsid w:val="00A56E94"/>
    <w:rsid w:val="00A6141F"/>
    <w:rsid w:val="00A90DDC"/>
    <w:rsid w:val="00A90F7E"/>
    <w:rsid w:val="00AA12BE"/>
    <w:rsid w:val="00AA3652"/>
    <w:rsid w:val="00AD2384"/>
    <w:rsid w:val="00AE585A"/>
    <w:rsid w:val="00AE7B6B"/>
    <w:rsid w:val="00AF7716"/>
    <w:rsid w:val="00B018FE"/>
    <w:rsid w:val="00B03DFF"/>
    <w:rsid w:val="00B06296"/>
    <w:rsid w:val="00B111D0"/>
    <w:rsid w:val="00B13A03"/>
    <w:rsid w:val="00B20222"/>
    <w:rsid w:val="00B20D40"/>
    <w:rsid w:val="00B312DA"/>
    <w:rsid w:val="00B34FA2"/>
    <w:rsid w:val="00B3754F"/>
    <w:rsid w:val="00B40A1B"/>
    <w:rsid w:val="00B40FCA"/>
    <w:rsid w:val="00B51699"/>
    <w:rsid w:val="00B539B6"/>
    <w:rsid w:val="00B558DD"/>
    <w:rsid w:val="00B748A7"/>
    <w:rsid w:val="00B775ED"/>
    <w:rsid w:val="00B848ED"/>
    <w:rsid w:val="00B84BE4"/>
    <w:rsid w:val="00B871C3"/>
    <w:rsid w:val="00B87B5B"/>
    <w:rsid w:val="00B958BB"/>
    <w:rsid w:val="00B95C24"/>
    <w:rsid w:val="00BA20DA"/>
    <w:rsid w:val="00BA6E1F"/>
    <w:rsid w:val="00BB43D1"/>
    <w:rsid w:val="00BC2DAF"/>
    <w:rsid w:val="00BC33B2"/>
    <w:rsid w:val="00BC77FE"/>
    <w:rsid w:val="00BD6778"/>
    <w:rsid w:val="00BF5036"/>
    <w:rsid w:val="00C1421D"/>
    <w:rsid w:val="00C44910"/>
    <w:rsid w:val="00C53460"/>
    <w:rsid w:val="00C53DC0"/>
    <w:rsid w:val="00C62A56"/>
    <w:rsid w:val="00C655C6"/>
    <w:rsid w:val="00C6675B"/>
    <w:rsid w:val="00C81151"/>
    <w:rsid w:val="00CB75C9"/>
    <w:rsid w:val="00CC6862"/>
    <w:rsid w:val="00CD1366"/>
    <w:rsid w:val="00CF1E38"/>
    <w:rsid w:val="00CF2A10"/>
    <w:rsid w:val="00D06671"/>
    <w:rsid w:val="00D07BC3"/>
    <w:rsid w:val="00D13A14"/>
    <w:rsid w:val="00D21F26"/>
    <w:rsid w:val="00D24261"/>
    <w:rsid w:val="00D257E8"/>
    <w:rsid w:val="00D44396"/>
    <w:rsid w:val="00D62791"/>
    <w:rsid w:val="00D72DE0"/>
    <w:rsid w:val="00D73188"/>
    <w:rsid w:val="00D73702"/>
    <w:rsid w:val="00D77E35"/>
    <w:rsid w:val="00D85AEA"/>
    <w:rsid w:val="00D93060"/>
    <w:rsid w:val="00DA5172"/>
    <w:rsid w:val="00DB593F"/>
    <w:rsid w:val="00DB680D"/>
    <w:rsid w:val="00DC093E"/>
    <w:rsid w:val="00DC0B3C"/>
    <w:rsid w:val="00DC7F9F"/>
    <w:rsid w:val="00DE2C73"/>
    <w:rsid w:val="00DE7C7E"/>
    <w:rsid w:val="00DF4826"/>
    <w:rsid w:val="00E17369"/>
    <w:rsid w:val="00E2778A"/>
    <w:rsid w:val="00E42DF7"/>
    <w:rsid w:val="00E56CE9"/>
    <w:rsid w:val="00E57A6D"/>
    <w:rsid w:val="00E62151"/>
    <w:rsid w:val="00E632C1"/>
    <w:rsid w:val="00E652DD"/>
    <w:rsid w:val="00E65E85"/>
    <w:rsid w:val="00E706C2"/>
    <w:rsid w:val="00E828A5"/>
    <w:rsid w:val="00EA4E63"/>
    <w:rsid w:val="00EC0DAD"/>
    <w:rsid w:val="00EC6A5F"/>
    <w:rsid w:val="00ED468D"/>
    <w:rsid w:val="00F00BC4"/>
    <w:rsid w:val="00F06CCC"/>
    <w:rsid w:val="00F1042B"/>
    <w:rsid w:val="00F27FB4"/>
    <w:rsid w:val="00F31959"/>
    <w:rsid w:val="00F50777"/>
    <w:rsid w:val="00F64729"/>
    <w:rsid w:val="00F77E77"/>
    <w:rsid w:val="00F80479"/>
    <w:rsid w:val="00F809E9"/>
    <w:rsid w:val="00F831F2"/>
    <w:rsid w:val="00F84CE9"/>
    <w:rsid w:val="00F9246C"/>
    <w:rsid w:val="00F92491"/>
    <w:rsid w:val="00F97B5B"/>
    <w:rsid w:val="00FB7E4A"/>
    <w:rsid w:val="00FC15A5"/>
    <w:rsid w:val="00FC3AD7"/>
    <w:rsid w:val="00FC4FA3"/>
    <w:rsid w:val="00FE18FC"/>
    <w:rsid w:val="00FE5ABB"/>
    <w:rsid w:val="00FF2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6A5F"/>
    <w:rPr>
      <w:b/>
      <w:bCs/>
    </w:rPr>
  </w:style>
  <w:style w:type="paragraph" w:customStyle="1" w:styleId="body-text">
    <w:name w:val="body-text"/>
    <w:basedOn w:val="Normal"/>
    <w:rsid w:val="009D5B7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1F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2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340"/>
  </w:style>
  <w:style w:type="paragraph" w:styleId="Footer">
    <w:name w:val="footer"/>
    <w:basedOn w:val="Normal"/>
    <w:link w:val="FooterChar"/>
    <w:uiPriority w:val="99"/>
    <w:unhideWhenUsed/>
    <w:rsid w:val="00292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340"/>
  </w:style>
  <w:style w:type="character" w:styleId="Emphasis">
    <w:name w:val="Emphasis"/>
    <w:basedOn w:val="DefaultParagraphFont"/>
    <w:uiPriority w:val="20"/>
    <w:qFormat/>
    <w:rsid w:val="000B3BF6"/>
    <w:rPr>
      <w:i/>
      <w:iCs/>
    </w:rPr>
  </w:style>
  <w:style w:type="paragraph" w:styleId="FootnoteText">
    <w:name w:val="footnote text"/>
    <w:basedOn w:val="Normal"/>
    <w:link w:val="FootnoteTextChar"/>
    <w:uiPriority w:val="99"/>
    <w:semiHidden/>
    <w:unhideWhenUsed/>
    <w:rsid w:val="00FE18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8FC"/>
    <w:rPr>
      <w:sz w:val="20"/>
      <w:szCs w:val="20"/>
    </w:rPr>
  </w:style>
  <w:style w:type="character" w:styleId="FootnoteReference">
    <w:name w:val="footnote reference"/>
    <w:basedOn w:val="DefaultParagraphFont"/>
    <w:uiPriority w:val="99"/>
    <w:semiHidden/>
    <w:unhideWhenUsed/>
    <w:rsid w:val="00FE18FC"/>
    <w:rPr>
      <w:vertAlign w:val="superscript"/>
    </w:rPr>
  </w:style>
  <w:style w:type="character" w:styleId="Hyperlink">
    <w:name w:val="Hyperlink"/>
    <w:basedOn w:val="DefaultParagraphFont"/>
    <w:uiPriority w:val="99"/>
    <w:semiHidden/>
    <w:unhideWhenUsed/>
    <w:rsid w:val="00FE18FC"/>
    <w:rPr>
      <w:color w:val="0000FF"/>
      <w:u w:val="single"/>
    </w:rPr>
  </w:style>
  <w:style w:type="paragraph" w:styleId="ListParagraph">
    <w:name w:val="List Paragraph"/>
    <w:basedOn w:val="Normal"/>
    <w:uiPriority w:val="34"/>
    <w:qFormat/>
    <w:rsid w:val="00D85A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6A5F"/>
    <w:rPr>
      <w:b/>
      <w:bCs/>
    </w:rPr>
  </w:style>
  <w:style w:type="paragraph" w:customStyle="1" w:styleId="body-text">
    <w:name w:val="body-text"/>
    <w:basedOn w:val="Normal"/>
    <w:rsid w:val="009D5B7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1F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2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340"/>
  </w:style>
  <w:style w:type="paragraph" w:styleId="Footer">
    <w:name w:val="footer"/>
    <w:basedOn w:val="Normal"/>
    <w:link w:val="FooterChar"/>
    <w:uiPriority w:val="99"/>
    <w:unhideWhenUsed/>
    <w:rsid w:val="00292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340"/>
  </w:style>
  <w:style w:type="character" w:styleId="Emphasis">
    <w:name w:val="Emphasis"/>
    <w:basedOn w:val="DefaultParagraphFont"/>
    <w:uiPriority w:val="20"/>
    <w:qFormat/>
    <w:rsid w:val="000B3BF6"/>
    <w:rPr>
      <w:i/>
      <w:iCs/>
    </w:rPr>
  </w:style>
  <w:style w:type="paragraph" w:styleId="FootnoteText">
    <w:name w:val="footnote text"/>
    <w:basedOn w:val="Normal"/>
    <w:link w:val="FootnoteTextChar"/>
    <w:uiPriority w:val="99"/>
    <w:semiHidden/>
    <w:unhideWhenUsed/>
    <w:rsid w:val="00FE18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8FC"/>
    <w:rPr>
      <w:sz w:val="20"/>
      <w:szCs w:val="20"/>
    </w:rPr>
  </w:style>
  <w:style w:type="character" w:styleId="FootnoteReference">
    <w:name w:val="footnote reference"/>
    <w:basedOn w:val="DefaultParagraphFont"/>
    <w:uiPriority w:val="99"/>
    <w:semiHidden/>
    <w:unhideWhenUsed/>
    <w:rsid w:val="00FE18FC"/>
    <w:rPr>
      <w:vertAlign w:val="superscript"/>
    </w:rPr>
  </w:style>
  <w:style w:type="character" w:styleId="Hyperlink">
    <w:name w:val="Hyperlink"/>
    <w:basedOn w:val="DefaultParagraphFont"/>
    <w:uiPriority w:val="99"/>
    <w:semiHidden/>
    <w:unhideWhenUsed/>
    <w:rsid w:val="00FE18FC"/>
    <w:rPr>
      <w:color w:val="0000FF"/>
      <w:u w:val="single"/>
    </w:rPr>
  </w:style>
</w:styles>
</file>

<file path=word/webSettings.xml><?xml version="1.0" encoding="utf-8"?>
<w:webSettings xmlns:r="http://schemas.openxmlformats.org/officeDocument/2006/relationships" xmlns:w="http://schemas.openxmlformats.org/wordprocessingml/2006/main">
  <w:divs>
    <w:div w:id="105588892">
      <w:bodyDiv w:val="1"/>
      <w:marLeft w:val="0"/>
      <w:marRight w:val="0"/>
      <w:marTop w:val="0"/>
      <w:marBottom w:val="0"/>
      <w:divBdr>
        <w:top w:val="none" w:sz="0" w:space="0" w:color="auto"/>
        <w:left w:val="none" w:sz="0" w:space="0" w:color="auto"/>
        <w:bottom w:val="none" w:sz="0" w:space="0" w:color="auto"/>
        <w:right w:val="none" w:sz="0" w:space="0" w:color="auto"/>
      </w:divBdr>
    </w:div>
    <w:div w:id="128522286">
      <w:bodyDiv w:val="1"/>
      <w:marLeft w:val="0"/>
      <w:marRight w:val="0"/>
      <w:marTop w:val="0"/>
      <w:marBottom w:val="0"/>
      <w:divBdr>
        <w:top w:val="none" w:sz="0" w:space="0" w:color="auto"/>
        <w:left w:val="none" w:sz="0" w:space="0" w:color="auto"/>
        <w:bottom w:val="none" w:sz="0" w:space="0" w:color="auto"/>
        <w:right w:val="none" w:sz="0" w:space="0" w:color="auto"/>
      </w:divBdr>
    </w:div>
    <w:div w:id="274748860">
      <w:bodyDiv w:val="1"/>
      <w:marLeft w:val="0"/>
      <w:marRight w:val="0"/>
      <w:marTop w:val="0"/>
      <w:marBottom w:val="0"/>
      <w:divBdr>
        <w:top w:val="none" w:sz="0" w:space="0" w:color="auto"/>
        <w:left w:val="none" w:sz="0" w:space="0" w:color="auto"/>
        <w:bottom w:val="none" w:sz="0" w:space="0" w:color="auto"/>
        <w:right w:val="none" w:sz="0" w:space="0" w:color="auto"/>
      </w:divBdr>
    </w:div>
    <w:div w:id="295255153">
      <w:bodyDiv w:val="1"/>
      <w:marLeft w:val="0"/>
      <w:marRight w:val="0"/>
      <w:marTop w:val="0"/>
      <w:marBottom w:val="0"/>
      <w:divBdr>
        <w:top w:val="none" w:sz="0" w:space="0" w:color="auto"/>
        <w:left w:val="none" w:sz="0" w:space="0" w:color="auto"/>
        <w:bottom w:val="none" w:sz="0" w:space="0" w:color="auto"/>
        <w:right w:val="none" w:sz="0" w:space="0" w:color="auto"/>
      </w:divBdr>
    </w:div>
    <w:div w:id="322247250">
      <w:bodyDiv w:val="1"/>
      <w:marLeft w:val="0"/>
      <w:marRight w:val="0"/>
      <w:marTop w:val="0"/>
      <w:marBottom w:val="0"/>
      <w:divBdr>
        <w:top w:val="none" w:sz="0" w:space="0" w:color="auto"/>
        <w:left w:val="none" w:sz="0" w:space="0" w:color="auto"/>
        <w:bottom w:val="none" w:sz="0" w:space="0" w:color="auto"/>
        <w:right w:val="none" w:sz="0" w:space="0" w:color="auto"/>
      </w:divBdr>
    </w:div>
    <w:div w:id="422578077">
      <w:bodyDiv w:val="1"/>
      <w:marLeft w:val="0"/>
      <w:marRight w:val="0"/>
      <w:marTop w:val="0"/>
      <w:marBottom w:val="0"/>
      <w:divBdr>
        <w:top w:val="none" w:sz="0" w:space="0" w:color="auto"/>
        <w:left w:val="none" w:sz="0" w:space="0" w:color="auto"/>
        <w:bottom w:val="none" w:sz="0" w:space="0" w:color="auto"/>
        <w:right w:val="none" w:sz="0" w:space="0" w:color="auto"/>
      </w:divBdr>
    </w:div>
    <w:div w:id="532184537">
      <w:bodyDiv w:val="1"/>
      <w:marLeft w:val="0"/>
      <w:marRight w:val="0"/>
      <w:marTop w:val="0"/>
      <w:marBottom w:val="0"/>
      <w:divBdr>
        <w:top w:val="none" w:sz="0" w:space="0" w:color="auto"/>
        <w:left w:val="none" w:sz="0" w:space="0" w:color="auto"/>
        <w:bottom w:val="none" w:sz="0" w:space="0" w:color="auto"/>
        <w:right w:val="none" w:sz="0" w:space="0" w:color="auto"/>
      </w:divBdr>
    </w:div>
    <w:div w:id="543326085">
      <w:bodyDiv w:val="1"/>
      <w:marLeft w:val="0"/>
      <w:marRight w:val="0"/>
      <w:marTop w:val="0"/>
      <w:marBottom w:val="0"/>
      <w:divBdr>
        <w:top w:val="none" w:sz="0" w:space="0" w:color="auto"/>
        <w:left w:val="none" w:sz="0" w:space="0" w:color="auto"/>
        <w:bottom w:val="none" w:sz="0" w:space="0" w:color="auto"/>
        <w:right w:val="none" w:sz="0" w:space="0" w:color="auto"/>
      </w:divBdr>
    </w:div>
    <w:div w:id="761027984">
      <w:bodyDiv w:val="1"/>
      <w:marLeft w:val="0"/>
      <w:marRight w:val="0"/>
      <w:marTop w:val="0"/>
      <w:marBottom w:val="0"/>
      <w:divBdr>
        <w:top w:val="none" w:sz="0" w:space="0" w:color="auto"/>
        <w:left w:val="none" w:sz="0" w:space="0" w:color="auto"/>
        <w:bottom w:val="none" w:sz="0" w:space="0" w:color="auto"/>
        <w:right w:val="none" w:sz="0" w:space="0" w:color="auto"/>
      </w:divBdr>
    </w:div>
    <w:div w:id="935675083">
      <w:bodyDiv w:val="1"/>
      <w:marLeft w:val="0"/>
      <w:marRight w:val="0"/>
      <w:marTop w:val="0"/>
      <w:marBottom w:val="0"/>
      <w:divBdr>
        <w:top w:val="none" w:sz="0" w:space="0" w:color="auto"/>
        <w:left w:val="none" w:sz="0" w:space="0" w:color="auto"/>
        <w:bottom w:val="none" w:sz="0" w:space="0" w:color="auto"/>
        <w:right w:val="none" w:sz="0" w:space="0" w:color="auto"/>
      </w:divBdr>
      <w:divsChild>
        <w:div w:id="152722786">
          <w:marLeft w:val="0"/>
          <w:marRight w:val="0"/>
          <w:marTop w:val="150"/>
          <w:marBottom w:val="150"/>
          <w:divBdr>
            <w:top w:val="none" w:sz="0" w:space="0" w:color="auto"/>
            <w:left w:val="none" w:sz="0" w:space="0" w:color="auto"/>
            <w:bottom w:val="none" w:sz="0" w:space="0" w:color="auto"/>
            <w:right w:val="none" w:sz="0" w:space="0" w:color="auto"/>
          </w:divBdr>
        </w:div>
        <w:div w:id="488596772">
          <w:marLeft w:val="0"/>
          <w:marRight w:val="0"/>
          <w:marTop w:val="150"/>
          <w:marBottom w:val="150"/>
          <w:divBdr>
            <w:top w:val="none" w:sz="0" w:space="0" w:color="auto"/>
            <w:left w:val="none" w:sz="0" w:space="0" w:color="auto"/>
            <w:bottom w:val="none" w:sz="0" w:space="0" w:color="auto"/>
            <w:right w:val="none" w:sz="0" w:space="0" w:color="auto"/>
          </w:divBdr>
        </w:div>
      </w:divsChild>
    </w:div>
    <w:div w:id="1114322690">
      <w:bodyDiv w:val="1"/>
      <w:marLeft w:val="0"/>
      <w:marRight w:val="0"/>
      <w:marTop w:val="0"/>
      <w:marBottom w:val="0"/>
      <w:divBdr>
        <w:top w:val="none" w:sz="0" w:space="0" w:color="auto"/>
        <w:left w:val="none" w:sz="0" w:space="0" w:color="auto"/>
        <w:bottom w:val="none" w:sz="0" w:space="0" w:color="auto"/>
        <w:right w:val="none" w:sz="0" w:space="0" w:color="auto"/>
      </w:divBdr>
    </w:div>
    <w:div w:id="1418476774">
      <w:bodyDiv w:val="1"/>
      <w:marLeft w:val="0"/>
      <w:marRight w:val="0"/>
      <w:marTop w:val="0"/>
      <w:marBottom w:val="0"/>
      <w:divBdr>
        <w:top w:val="none" w:sz="0" w:space="0" w:color="auto"/>
        <w:left w:val="none" w:sz="0" w:space="0" w:color="auto"/>
        <w:bottom w:val="none" w:sz="0" w:space="0" w:color="auto"/>
        <w:right w:val="none" w:sz="0" w:space="0" w:color="auto"/>
      </w:divBdr>
    </w:div>
    <w:div w:id="1577327504">
      <w:bodyDiv w:val="1"/>
      <w:marLeft w:val="0"/>
      <w:marRight w:val="0"/>
      <w:marTop w:val="0"/>
      <w:marBottom w:val="0"/>
      <w:divBdr>
        <w:top w:val="none" w:sz="0" w:space="0" w:color="auto"/>
        <w:left w:val="none" w:sz="0" w:space="0" w:color="auto"/>
        <w:bottom w:val="none" w:sz="0" w:space="0" w:color="auto"/>
        <w:right w:val="none" w:sz="0" w:space="0" w:color="auto"/>
      </w:divBdr>
    </w:div>
    <w:div w:id="1872179861">
      <w:bodyDiv w:val="1"/>
      <w:marLeft w:val="0"/>
      <w:marRight w:val="0"/>
      <w:marTop w:val="0"/>
      <w:marBottom w:val="0"/>
      <w:divBdr>
        <w:top w:val="none" w:sz="0" w:space="0" w:color="auto"/>
        <w:left w:val="none" w:sz="0" w:space="0" w:color="auto"/>
        <w:bottom w:val="none" w:sz="0" w:space="0" w:color="auto"/>
        <w:right w:val="none" w:sz="0" w:space="0" w:color="auto"/>
      </w:divBdr>
    </w:div>
    <w:div w:id="2053309191">
      <w:bodyDiv w:val="1"/>
      <w:marLeft w:val="0"/>
      <w:marRight w:val="0"/>
      <w:marTop w:val="0"/>
      <w:marBottom w:val="0"/>
      <w:divBdr>
        <w:top w:val="none" w:sz="0" w:space="0" w:color="auto"/>
        <w:left w:val="none" w:sz="0" w:space="0" w:color="auto"/>
        <w:bottom w:val="none" w:sz="0" w:space="0" w:color="auto"/>
        <w:right w:val="none" w:sz="0" w:space="0" w:color="auto"/>
      </w:divBdr>
    </w:div>
    <w:div w:id="20916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gdnn.gov.vn/AIAdmin/News/View/tabid/66/newsid/6166/seo/50-diem-moi-Luat-Giao-duc-nghe-nghiep-Nhieu-doi-moi-chinh-sach-doi-voi-nguoi-hoc/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2C223-54B3-455E-93B8-E4A8E3A2D164}"/>
</file>

<file path=customXml/itemProps2.xml><?xml version="1.0" encoding="utf-8"?>
<ds:datastoreItem xmlns:ds="http://schemas.openxmlformats.org/officeDocument/2006/customXml" ds:itemID="{F3806285-85C1-4AD0-B839-8E4504363E96}"/>
</file>

<file path=customXml/itemProps3.xml><?xml version="1.0" encoding="utf-8"?>
<ds:datastoreItem xmlns:ds="http://schemas.openxmlformats.org/officeDocument/2006/customXml" ds:itemID="{E607804A-7003-47B2-8776-4E83E7DD0F5B}"/>
</file>

<file path=customXml/itemProps4.xml><?xml version="1.0" encoding="utf-8"?>
<ds:datastoreItem xmlns:ds="http://schemas.openxmlformats.org/officeDocument/2006/customXml" ds:itemID="{8DCDA2AA-533E-4C8E-A65A-6AB04AD34AE3}"/>
</file>

<file path=docProps/app.xml><?xml version="1.0" encoding="utf-8"?>
<Properties xmlns="http://schemas.openxmlformats.org/officeDocument/2006/extended-properties" xmlns:vt="http://schemas.openxmlformats.org/officeDocument/2006/docPropsVTypes">
  <Template>Normal</Template>
  <TotalTime>1325</TotalTime>
  <Pages>1</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113LNT</cp:lastModifiedBy>
  <cp:revision>63</cp:revision>
  <dcterms:created xsi:type="dcterms:W3CDTF">2017-11-03T07:36:00Z</dcterms:created>
  <dcterms:modified xsi:type="dcterms:W3CDTF">2017-11-13T10:19:00Z</dcterms:modified>
</cp:coreProperties>
</file>